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685046" w14:textId="77777777" w:rsidR="00534E22" w:rsidRDefault="009012F2" w:rsidP="009012F2">
      <w:pPr>
        <w:spacing w:after="0" w:line="360" w:lineRule="auto"/>
        <w:jc w:val="center"/>
        <w:rPr>
          <w:rFonts w:ascii="Times New Arabic" w:hAnsi="Times New Arabic"/>
          <w:b/>
          <w:bCs/>
          <w:sz w:val="24"/>
          <w:szCs w:val="24"/>
        </w:rPr>
      </w:pPr>
      <w:r w:rsidRPr="009012F2">
        <w:rPr>
          <w:rFonts w:ascii="Times New Arabic" w:hAnsi="Times New Arabic"/>
          <w:b/>
          <w:bCs/>
          <w:sz w:val="24"/>
          <w:szCs w:val="24"/>
        </w:rPr>
        <w:t xml:space="preserve">THEMATIC STUDY OF VERSES </w:t>
      </w:r>
      <w:r w:rsidRPr="0057609C">
        <w:rPr>
          <w:rFonts w:ascii="Times New Arabic" w:hAnsi="Times New Arabic"/>
          <w:b/>
          <w:bCs/>
          <w:iCs/>
          <w:sz w:val="24"/>
          <w:szCs w:val="24"/>
        </w:rPr>
        <w:t>ON</w:t>
      </w:r>
      <w:r w:rsidR="006313C3">
        <w:rPr>
          <w:rFonts w:ascii="Times New Arabic" w:hAnsi="Times New Arabic"/>
          <w:b/>
          <w:bCs/>
          <w:sz w:val="24"/>
          <w:szCs w:val="24"/>
        </w:rPr>
        <w:t xml:space="preserve"> </w:t>
      </w:r>
      <w:r w:rsidR="006313C3" w:rsidRPr="006313C3">
        <w:rPr>
          <w:rFonts w:ascii="Times New Arabic" w:hAnsi="Times New Arabic"/>
          <w:b/>
          <w:bCs/>
          <w:i/>
          <w:sz w:val="24"/>
          <w:szCs w:val="24"/>
        </w:rPr>
        <w:t>MAYSIR</w:t>
      </w:r>
    </w:p>
    <w:p w14:paraId="7D99D170" w14:textId="7EDE44A9" w:rsidR="009012F2" w:rsidRPr="009012F2" w:rsidRDefault="009717C9" w:rsidP="00534E22">
      <w:pPr>
        <w:spacing w:after="0" w:line="360" w:lineRule="auto"/>
        <w:jc w:val="center"/>
        <w:rPr>
          <w:rFonts w:ascii="Times New Arabic" w:hAnsi="Times New Arabic"/>
          <w:b/>
          <w:bCs/>
          <w:sz w:val="24"/>
          <w:szCs w:val="24"/>
        </w:rPr>
      </w:pPr>
      <w:r w:rsidRPr="009012F2">
        <w:rPr>
          <w:rFonts w:ascii="Times New Arabic" w:hAnsi="Times New Arabic"/>
          <w:b/>
          <w:bCs/>
          <w:sz w:val="24"/>
          <w:szCs w:val="24"/>
        </w:rPr>
        <w:t>The Relevance</w:t>
      </w:r>
      <w:r w:rsidR="00534E22">
        <w:rPr>
          <w:rFonts w:ascii="Times New Arabic" w:hAnsi="Times New Arabic"/>
          <w:b/>
          <w:bCs/>
          <w:sz w:val="24"/>
          <w:szCs w:val="24"/>
        </w:rPr>
        <w:t xml:space="preserve"> a</w:t>
      </w:r>
      <w:r w:rsidRPr="009012F2">
        <w:rPr>
          <w:rFonts w:ascii="Times New Arabic" w:hAnsi="Times New Arabic"/>
          <w:b/>
          <w:bCs/>
          <w:sz w:val="24"/>
          <w:szCs w:val="24"/>
        </w:rPr>
        <w:t xml:space="preserve">nd Qur’anic Solutions </w:t>
      </w:r>
      <w:r w:rsidR="00534E22">
        <w:rPr>
          <w:rFonts w:ascii="Times New Arabic" w:hAnsi="Times New Arabic"/>
          <w:b/>
          <w:bCs/>
          <w:sz w:val="24"/>
          <w:szCs w:val="24"/>
        </w:rPr>
        <w:t>t</w:t>
      </w:r>
      <w:r w:rsidRPr="009012F2">
        <w:rPr>
          <w:rFonts w:ascii="Times New Arabic" w:hAnsi="Times New Arabic"/>
          <w:b/>
          <w:bCs/>
          <w:sz w:val="24"/>
          <w:szCs w:val="24"/>
        </w:rPr>
        <w:t xml:space="preserve">o </w:t>
      </w:r>
      <w:r w:rsidRPr="0024003A">
        <w:rPr>
          <w:rFonts w:ascii="Times New Arabic" w:hAnsi="Times New Arabic"/>
          <w:b/>
          <w:bCs/>
          <w:sz w:val="24"/>
          <w:szCs w:val="24"/>
        </w:rPr>
        <w:t>Online</w:t>
      </w:r>
      <w:r w:rsidRPr="009012F2">
        <w:rPr>
          <w:rFonts w:ascii="Times New Arabic" w:hAnsi="Times New Arabic"/>
          <w:b/>
          <w:bCs/>
          <w:sz w:val="24"/>
          <w:szCs w:val="24"/>
        </w:rPr>
        <w:t xml:space="preserve"> Gambling </w:t>
      </w:r>
      <w:r w:rsidR="00534E22">
        <w:rPr>
          <w:rFonts w:ascii="Times New Arabic" w:hAnsi="Times New Arabic"/>
          <w:b/>
          <w:bCs/>
          <w:sz w:val="24"/>
          <w:szCs w:val="24"/>
        </w:rPr>
        <w:t>i</w:t>
      </w:r>
      <w:r w:rsidRPr="009012F2">
        <w:rPr>
          <w:rFonts w:ascii="Times New Arabic" w:hAnsi="Times New Arabic"/>
          <w:b/>
          <w:bCs/>
          <w:sz w:val="24"/>
          <w:szCs w:val="24"/>
        </w:rPr>
        <w:t>n Family Resilience</w:t>
      </w:r>
    </w:p>
    <w:p w14:paraId="1104AB07" w14:textId="77777777" w:rsidR="009012F2" w:rsidRPr="009012F2" w:rsidRDefault="009012F2" w:rsidP="009012F2">
      <w:pPr>
        <w:jc w:val="center"/>
        <w:rPr>
          <w:rFonts w:ascii="Times New Arabic" w:hAnsi="Times New Arabic"/>
          <w:b/>
          <w:bCs/>
          <w:sz w:val="24"/>
          <w:szCs w:val="24"/>
        </w:rPr>
      </w:pPr>
    </w:p>
    <w:p w14:paraId="7B21F066" w14:textId="77777777" w:rsidR="009012F2" w:rsidRPr="00534E22" w:rsidRDefault="009012F2" w:rsidP="009012F2">
      <w:pPr>
        <w:spacing w:after="0" w:line="360" w:lineRule="auto"/>
        <w:jc w:val="center"/>
        <w:rPr>
          <w:rFonts w:ascii="Times New Arabic" w:hAnsi="Times New Arabic"/>
          <w:b/>
          <w:bCs/>
          <w:sz w:val="24"/>
          <w:szCs w:val="24"/>
          <w:lang w:val="pt-BR"/>
        </w:rPr>
      </w:pPr>
      <w:r w:rsidRPr="00534E22">
        <w:rPr>
          <w:rFonts w:ascii="Times New Arabic" w:hAnsi="Times New Arabic"/>
          <w:b/>
          <w:bCs/>
          <w:sz w:val="24"/>
          <w:szCs w:val="24"/>
          <w:lang w:val="pt-BR"/>
        </w:rPr>
        <w:t>Wardi Lute</w:t>
      </w:r>
    </w:p>
    <w:p w14:paraId="09D18898" w14:textId="39FB4AB8" w:rsidR="009012F2" w:rsidRPr="00534E22" w:rsidRDefault="009012F2" w:rsidP="009012F2">
      <w:pPr>
        <w:spacing w:after="0" w:line="360" w:lineRule="auto"/>
        <w:jc w:val="center"/>
        <w:rPr>
          <w:rFonts w:ascii="Times New Arabic" w:hAnsi="Times New Arabic"/>
          <w:sz w:val="24"/>
          <w:szCs w:val="24"/>
          <w:lang w:val="pt-BR"/>
        </w:rPr>
      </w:pPr>
      <w:r w:rsidRPr="00534E22">
        <w:rPr>
          <w:rFonts w:ascii="Times New Arabic" w:hAnsi="Times New Arabic"/>
          <w:sz w:val="24"/>
          <w:szCs w:val="24"/>
          <w:lang w:val="pt-BR"/>
        </w:rPr>
        <w:t>U</w:t>
      </w:r>
      <w:r w:rsidR="0057609C" w:rsidRPr="00534E22">
        <w:rPr>
          <w:rFonts w:ascii="Times New Arabic" w:hAnsi="Times New Arabic"/>
          <w:sz w:val="24"/>
          <w:szCs w:val="24"/>
          <w:lang w:val="pt-BR"/>
        </w:rPr>
        <w:t xml:space="preserve">niversitas </w:t>
      </w:r>
      <w:r w:rsidRPr="00534E22">
        <w:rPr>
          <w:rFonts w:ascii="Times New Arabic" w:hAnsi="Times New Arabic"/>
          <w:sz w:val="24"/>
          <w:szCs w:val="24"/>
          <w:lang w:val="pt-BR"/>
        </w:rPr>
        <w:t>I</w:t>
      </w:r>
      <w:r w:rsidR="0057609C" w:rsidRPr="00534E22">
        <w:rPr>
          <w:rFonts w:ascii="Times New Arabic" w:hAnsi="Times New Arabic"/>
          <w:sz w:val="24"/>
          <w:szCs w:val="24"/>
          <w:lang w:val="pt-BR"/>
        </w:rPr>
        <w:t xml:space="preserve">slam </w:t>
      </w:r>
      <w:r w:rsidRPr="00534E22">
        <w:rPr>
          <w:rFonts w:ascii="Times New Arabic" w:hAnsi="Times New Arabic"/>
          <w:sz w:val="24"/>
          <w:szCs w:val="24"/>
          <w:lang w:val="pt-BR"/>
        </w:rPr>
        <w:t>N</w:t>
      </w:r>
      <w:r w:rsidR="0057609C" w:rsidRPr="00534E22">
        <w:rPr>
          <w:rFonts w:ascii="Times New Arabic" w:hAnsi="Times New Arabic"/>
          <w:sz w:val="24"/>
          <w:szCs w:val="24"/>
          <w:lang w:val="pt-BR"/>
        </w:rPr>
        <w:t>egeri</w:t>
      </w:r>
      <w:r w:rsidRPr="00534E22">
        <w:rPr>
          <w:rFonts w:ascii="Times New Arabic" w:hAnsi="Times New Arabic"/>
          <w:sz w:val="24"/>
          <w:szCs w:val="24"/>
          <w:lang w:val="pt-BR"/>
        </w:rPr>
        <w:t xml:space="preserve"> </w:t>
      </w:r>
      <w:r w:rsidR="0057609C" w:rsidRPr="00534E22">
        <w:rPr>
          <w:rFonts w:ascii="Times New Arabic" w:hAnsi="Times New Arabic"/>
          <w:sz w:val="24"/>
          <w:szCs w:val="24"/>
          <w:lang w:val="pt-BR"/>
        </w:rPr>
        <w:t>Datokarama Palu, Indonesia</w:t>
      </w:r>
    </w:p>
    <w:p w14:paraId="6010767C" w14:textId="1AC2F4C3" w:rsidR="009012F2" w:rsidRPr="00534E22" w:rsidRDefault="00000000" w:rsidP="0057609C">
      <w:pPr>
        <w:spacing w:after="0"/>
        <w:jc w:val="center"/>
        <w:rPr>
          <w:rStyle w:val="Hyperlink"/>
          <w:rFonts w:ascii="Times New Arabic" w:hAnsi="Times New Arabic"/>
          <w:bCs/>
          <w:sz w:val="24"/>
          <w:szCs w:val="24"/>
          <w:lang w:val="pt-BR"/>
        </w:rPr>
      </w:pPr>
      <w:hyperlink r:id="rId8">
        <w:r w:rsidR="009012F2" w:rsidRPr="00534E22">
          <w:rPr>
            <w:rStyle w:val="Hyperlink"/>
            <w:rFonts w:ascii="Times New Arabic" w:hAnsi="Times New Arabic"/>
            <w:bCs/>
            <w:sz w:val="24"/>
            <w:szCs w:val="24"/>
            <w:lang w:val="pt-BR"/>
          </w:rPr>
          <w:t>Wardilute</w:t>
        </w:r>
      </w:hyperlink>
      <w:hyperlink r:id="rId9">
        <w:r w:rsidR="009012F2" w:rsidRPr="00534E22">
          <w:rPr>
            <w:rStyle w:val="Hyperlink"/>
            <w:rFonts w:ascii="Times New Arabic" w:hAnsi="Times New Arabic"/>
            <w:bCs/>
            <w:sz w:val="24"/>
            <w:szCs w:val="24"/>
            <w:lang w:val="pt-BR"/>
          </w:rPr>
          <w:t>94@gmail.com</w:t>
        </w:r>
      </w:hyperlink>
      <w:r w:rsidR="0057609C" w:rsidRPr="00534E22">
        <w:rPr>
          <w:rStyle w:val="Hyperlink"/>
          <w:rFonts w:ascii="Times New Arabic" w:hAnsi="Times New Arabic"/>
          <w:bCs/>
          <w:sz w:val="24"/>
          <w:szCs w:val="24"/>
          <w:lang w:val="pt-BR"/>
        </w:rPr>
        <w:t xml:space="preserve"> </w:t>
      </w:r>
    </w:p>
    <w:p w14:paraId="21CFF79F" w14:textId="49292C9F" w:rsidR="0057609C" w:rsidRPr="00534E22" w:rsidRDefault="0057609C" w:rsidP="0057609C">
      <w:pPr>
        <w:spacing w:after="0"/>
        <w:jc w:val="center"/>
        <w:rPr>
          <w:rStyle w:val="Hyperlink"/>
          <w:rFonts w:ascii="Times New Arabic" w:hAnsi="Times New Arabic"/>
          <w:bCs/>
          <w:sz w:val="24"/>
          <w:szCs w:val="24"/>
          <w:lang w:val="pt-BR"/>
        </w:rPr>
      </w:pPr>
    </w:p>
    <w:p w14:paraId="4BA1B943" w14:textId="6631FA05" w:rsidR="0057609C" w:rsidRPr="00534E22" w:rsidRDefault="0057609C" w:rsidP="0057609C">
      <w:pPr>
        <w:spacing w:after="0"/>
        <w:jc w:val="center"/>
        <w:rPr>
          <w:rStyle w:val="Hyperlink"/>
          <w:rFonts w:ascii="Times New Arabic" w:hAnsi="Times New Arabic"/>
          <w:b/>
          <w:color w:val="auto"/>
          <w:sz w:val="24"/>
          <w:szCs w:val="24"/>
          <w:u w:val="none"/>
          <w:lang w:val="pt-BR"/>
        </w:rPr>
      </w:pPr>
      <w:r w:rsidRPr="00534E22">
        <w:rPr>
          <w:rStyle w:val="Hyperlink"/>
          <w:rFonts w:ascii="Times New Arabic" w:hAnsi="Times New Arabic"/>
          <w:b/>
          <w:color w:val="auto"/>
          <w:sz w:val="24"/>
          <w:szCs w:val="24"/>
          <w:u w:val="none"/>
          <w:lang w:val="pt-BR"/>
        </w:rPr>
        <w:t>Mohammad Nawir</w:t>
      </w:r>
    </w:p>
    <w:p w14:paraId="204AB349" w14:textId="77777777" w:rsidR="0057609C" w:rsidRPr="00534E22" w:rsidRDefault="0057609C" w:rsidP="0057609C">
      <w:pPr>
        <w:spacing w:after="0" w:line="360" w:lineRule="auto"/>
        <w:jc w:val="center"/>
        <w:rPr>
          <w:rFonts w:ascii="Times New Arabic" w:hAnsi="Times New Arabic"/>
          <w:sz w:val="24"/>
          <w:szCs w:val="24"/>
          <w:lang w:val="pt-BR"/>
        </w:rPr>
      </w:pPr>
      <w:r w:rsidRPr="00534E22">
        <w:rPr>
          <w:rFonts w:ascii="Times New Arabic" w:hAnsi="Times New Arabic"/>
          <w:sz w:val="24"/>
          <w:szCs w:val="24"/>
          <w:lang w:val="pt-BR"/>
        </w:rPr>
        <w:t>Universitas Islam Negeri Datokarama Palu, Indonesia</w:t>
      </w:r>
    </w:p>
    <w:p w14:paraId="341993FF" w14:textId="44348AC5" w:rsidR="0057609C" w:rsidRDefault="0057609C" w:rsidP="009012F2">
      <w:pPr>
        <w:spacing w:after="0" w:line="360" w:lineRule="auto"/>
        <w:jc w:val="center"/>
        <w:rPr>
          <w:rFonts w:ascii="Times New Arabic" w:hAnsi="Times New Arabic"/>
          <w:bCs/>
          <w:sz w:val="24"/>
          <w:szCs w:val="24"/>
        </w:rPr>
      </w:pPr>
      <w:r w:rsidRPr="0057609C">
        <w:rPr>
          <w:rStyle w:val="Hyperlink"/>
          <w:rFonts w:ascii="Times New Arabic" w:hAnsi="Times New Arabic"/>
          <w:bCs/>
          <w:sz w:val="24"/>
          <w:szCs w:val="24"/>
        </w:rPr>
        <w:t>mohammadnawirakib@gmail.com</w:t>
      </w:r>
    </w:p>
    <w:p w14:paraId="11B94A30" w14:textId="77777777" w:rsidR="009012F2" w:rsidRDefault="009012F2" w:rsidP="003D6F6B">
      <w:pPr>
        <w:rPr>
          <w:rFonts w:ascii="Times New Arabic" w:hAnsi="Times New Arabic"/>
          <w:b/>
          <w:bCs/>
          <w:sz w:val="24"/>
          <w:szCs w:val="24"/>
        </w:rPr>
      </w:pPr>
    </w:p>
    <w:p w14:paraId="744D0AF6" w14:textId="77777777" w:rsidR="00944F9E" w:rsidRPr="00944F9E" w:rsidRDefault="00944F9E" w:rsidP="0057609C">
      <w:pPr>
        <w:spacing w:line="360" w:lineRule="auto"/>
        <w:jc w:val="center"/>
        <w:rPr>
          <w:rFonts w:ascii="Times New Arabic" w:hAnsi="Times New Arabic"/>
          <w:b/>
          <w:bCs/>
          <w:sz w:val="24"/>
          <w:szCs w:val="24"/>
        </w:rPr>
      </w:pPr>
      <w:r w:rsidRPr="00944F9E">
        <w:rPr>
          <w:rFonts w:ascii="Times New Arabic" w:hAnsi="Times New Arabic"/>
          <w:b/>
          <w:bCs/>
          <w:sz w:val="24"/>
          <w:szCs w:val="24"/>
        </w:rPr>
        <w:t>ABSTRACT</w:t>
      </w:r>
    </w:p>
    <w:p w14:paraId="0CD03493" w14:textId="132FCFCE" w:rsidR="009012F2" w:rsidRDefault="00944F9E" w:rsidP="003D6F6B">
      <w:pPr>
        <w:spacing w:after="0" w:line="360" w:lineRule="auto"/>
        <w:jc w:val="both"/>
        <w:rPr>
          <w:rFonts w:ascii="Times New Arabic" w:hAnsi="Times New Arabic"/>
          <w:bCs/>
          <w:sz w:val="24"/>
          <w:szCs w:val="24"/>
        </w:rPr>
      </w:pPr>
      <w:r w:rsidRPr="00944F9E">
        <w:rPr>
          <w:rFonts w:ascii="Times New Arabic" w:hAnsi="Times New Arabic"/>
          <w:bCs/>
          <w:sz w:val="24"/>
          <w:szCs w:val="24"/>
        </w:rPr>
        <w:t xml:space="preserve">The rise of </w:t>
      </w:r>
      <w:r w:rsidR="0024003A" w:rsidRPr="0024003A">
        <w:rPr>
          <w:rFonts w:ascii="Times New Arabic" w:hAnsi="Times New Arabic"/>
          <w:bCs/>
          <w:sz w:val="24"/>
          <w:szCs w:val="24"/>
        </w:rPr>
        <w:t>online</w:t>
      </w:r>
      <w:r w:rsidRPr="00944F9E">
        <w:rPr>
          <w:rFonts w:ascii="Times New Arabic" w:hAnsi="Times New Arabic"/>
          <w:bCs/>
          <w:sz w:val="24"/>
          <w:szCs w:val="24"/>
        </w:rPr>
        <w:t xml:space="preserve"> gambling in Indonesia has triggered a financial and moral crisis that poses a massive threat to the resilience of the family institution. Although the government has implemented various cyber regulations, </w:t>
      </w:r>
      <w:r w:rsidR="0024003A" w:rsidRPr="0024003A">
        <w:rPr>
          <w:rFonts w:ascii="Times New Arabic" w:hAnsi="Times New Arabic"/>
          <w:bCs/>
          <w:sz w:val="24"/>
          <w:szCs w:val="24"/>
        </w:rPr>
        <w:t>online</w:t>
      </w:r>
      <w:r w:rsidRPr="00944F9E">
        <w:rPr>
          <w:rFonts w:ascii="Times New Arabic" w:hAnsi="Times New Arabic"/>
          <w:bCs/>
          <w:sz w:val="24"/>
          <w:szCs w:val="24"/>
        </w:rPr>
        <w:t xml:space="preserve"> gambling rates remain high and are causing domestic strife. Previous studies have generally examined this phenomenon in a fragmented manner through the lens of formal law, economic impacts, and the moral degradation of the general public. This study aims to fill this academic gap by integrating a specific interpretation of the </w:t>
      </w:r>
      <w:r w:rsidR="006313C3" w:rsidRPr="006313C3">
        <w:rPr>
          <w:rFonts w:ascii="Times New Arabic" w:hAnsi="Times New Arabic"/>
          <w:bCs/>
          <w:i/>
          <w:sz w:val="24"/>
          <w:szCs w:val="24"/>
        </w:rPr>
        <w:t>Maysir</w:t>
      </w:r>
      <w:r w:rsidRPr="00944F9E">
        <w:rPr>
          <w:rFonts w:ascii="Times New Arabic" w:hAnsi="Times New Arabic"/>
          <w:bCs/>
          <w:sz w:val="24"/>
          <w:szCs w:val="24"/>
        </w:rPr>
        <w:t xml:space="preserve"> verses into the concept of family resilience in the digital age. Through a library research method based on a qualitative-thematic (</w:t>
      </w:r>
      <w:r w:rsidRPr="0024003A">
        <w:rPr>
          <w:rFonts w:ascii="Times New Arabic" w:hAnsi="Times New Arabic"/>
          <w:bCs/>
          <w:i/>
          <w:sz w:val="24"/>
          <w:szCs w:val="24"/>
        </w:rPr>
        <w:t>maudhu’i</w:t>
      </w:r>
      <w:r w:rsidRPr="00944F9E">
        <w:rPr>
          <w:rFonts w:ascii="Times New Arabic" w:hAnsi="Times New Arabic"/>
          <w:bCs/>
          <w:sz w:val="24"/>
          <w:szCs w:val="24"/>
        </w:rPr>
        <w:t xml:space="preserve">) interpretive approach, data were collected from relevant Qur’anic verses and supporting scientific literature. The results indicate that the prohibition on </w:t>
      </w:r>
      <w:r w:rsidR="006313C3" w:rsidRPr="006313C3">
        <w:rPr>
          <w:rFonts w:ascii="Times New Arabic" w:hAnsi="Times New Arabic"/>
          <w:bCs/>
          <w:i/>
          <w:sz w:val="24"/>
          <w:szCs w:val="24"/>
        </w:rPr>
        <w:t>maysir</w:t>
      </w:r>
      <w:r w:rsidRPr="00944F9E">
        <w:rPr>
          <w:rFonts w:ascii="Times New Arabic" w:hAnsi="Times New Arabic"/>
          <w:bCs/>
          <w:sz w:val="24"/>
          <w:szCs w:val="24"/>
        </w:rPr>
        <w:t xml:space="preserve"> in Surah al-Ma’idah, verses 90–91, holds strong contextual relevance to </w:t>
      </w:r>
      <w:r w:rsidR="0024003A" w:rsidRPr="0024003A">
        <w:rPr>
          <w:rFonts w:ascii="Times New Arabic" w:hAnsi="Times New Arabic"/>
          <w:bCs/>
          <w:sz w:val="24"/>
          <w:szCs w:val="24"/>
        </w:rPr>
        <w:t>online</w:t>
      </w:r>
      <w:r w:rsidRPr="00944F9E">
        <w:rPr>
          <w:rFonts w:ascii="Times New Arabic" w:hAnsi="Times New Arabic"/>
          <w:bCs/>
          <w:sz w:val="24"/>
          <w:szCs w:val="24"/>
        </w:rPr>
        <w:t xml:space="preserve"> gambling due to the similarity of </w:t>
      </w:r>
      <w:r w:rsidRPr="00944F9E">
        <w:rPr>
          <w:rFonts w:ascii="Times New Arabic" w:hAnsi="Times New Arabic"/>
          <w:bCs/>
          <w:sz w:val="24"/>
          <w:szCs w:val="24"/>
        </w:rPr>
        <w:lastRenderedPageBreak/>
        <w:t xml:space="preserve">their destructive impacts. As a preventive solution, the Qur’an offers a four-pillar model of domestic resilience encompassing spiritual strengthening, the assurance of </w:t>
      </w:r>
      <w:r w:rsidRPr="003D6F6B">
        <w:rPr>
          <w:rFonts w:ascii="Times New Arabic" w:hAnsi="Times New Arabic"/>
          <w:bCs/>
          <w:i/>
          <w:iCs/>
          <w:sz w:val="24"/>
          <w:szCs w:val="24"/>
        </w:rPr>
        <w:t>halal</w:t>
      </w:r>
      <w:r w:rsidRPr="00944F9E">
        <w:rPr>
          <w:rFonts w:ascii="Times New Arabic" w:hAnsi="Times New Arabic"/>
          <w:bCs/>
          <w:sz w:val="24"/>
          <w:szCs w:val="24"/>
        </w:rPr>
        <w:t xml:space="preserve"> sustenance, selective social environments, and asset management. This study concludes that Qur’anic values have proven effective as practical-transformative guidelines in fortifying families against digital disruption.</w:t>
      </w:r>
    </w:p>
    <w:p w14:paraId="63E336EF" w14:textId="3E2B1BB5" w:rsidR="00944F9E" w:rsidRDefault="009012F2" w:rsidP="003D6F6B">
      <w:pPr>
        <w:spacing w:after="0" w:line="360" w:lineRule="auto"/>
        <w:jc w:val="both"/>
        <w:rPr>
          <w:rFonts w:ascii="Times New Arabic" w:hAnsi="Times New Arabic"/>
          <w:b/>
          <w:bCs/>
          <w:sz w:val="24"/>
          <w:szCs w:val="24"/>
        </w:rPr>
      </w:pPr>
      <w:r w:rsidRPr="009012F2">
        <w:rPr>
          <w:rFonts w:ascii="Times New Arabic" w:hAnsi="Times New Arabic"/>
          <w:b/>
          <w:bCs/>
          <w:sz w:val="24"/>
          <w:szCs w:val="24"/>
        </w:rPr>
        <w:t xml:space="preserve">Keywords: </w:t>
      </w:r>
      <w:r w:rsidR="0024003A" w:rsidRPr="0024003A">
        <w:rPr>
          <w:rFonts w:ascii="Times New Arabic" w:hAnsi="Times New Arabic"/>
          <w:b/>
          <w:bCs/>
          <w:sz w:val="24"/>
          <w:szCs w:val="24"/>
        </w:rPr>
        <w:t>Online</w:t>
      </w:r>
      <w:r w:rsidRPr="009012F2">
        <w:rPr>
          <w:rFonts w:ascii="Times New Arabic" w:hAnsi="Times New Arabic"/>
          <w:b/>
          <w:bCs/>
          <w:sz w:val="24"/>
          <w:szCs w:val="24"/>
        </w:rPr>
        <w:t xml:space="preserve"> Gambling, Family Resilience, Prohibition of </w:t>
      </w:r>
      <w:r w:rsidR="006313C3" w:rsidRPr="006313C3">
        <w:rPr>
          <w:rFonts w:ascii="Times New Arabic" w:hAnsi="Times New Arabic"/>
          <w:b/>
          <w:bCs/>
          <w:i/>
          <w:sz w:val="24"/>
          <w:szCs w:val="24"/>
        </w:rPr>
        <w:t>Maysir</w:t>
      </w:r>
      <w:r w:rsidRPr="009012F2">
        <w:rPr>
          <w:rFonts w:ascii="Times New Arabic" w:hAnsi="Times New Arabic"/>
          <w:b/>
          <w:bCs/>
          <w:sz w:val="24"/>
          <w:szCs w:val="24"/>
        </w:rPr>
        <w:t>, Thematic Exegesis.</w:t>
      </w:r>
    </w:p>
    <w:p w14:paraId="16D2D615" w14:textId="77777777" w:rsidR="0057609C" w:rsidRDefault="0057609C" w:rsidP="009012F2">
      <w:pPr>
        <w:spacing w:after="0" w:line="360" w:lineRule="auto"/>
        <w:jc w:val="both"/>
        <w:rPr>
          <w:rFonts w:ascii="Times New Arabic" w:hAnsi="Times New Arabic"/>
          <w:bCs/>
          <w:sz w:val="24"/>
          <w:szCs w:val="24"/>
        </w:rPr>
      </w:pPr>
    </w:p>
    <w:p w14:paraId="0349F5A6" w14:textId="77777777" w:rsidR="00944F9E" w:rsidRPr="00944F9E" w:rsidRDefault="00944F9E" w:rsidP="0057609C">
      <w:pPr>
        <w:spacing w:before="240" w:after="0" w:line="360" w:lineRule="auto"/>
        <w:jc w:val="center"/>
        <w:rPr>
          <w:rFonts w:ascii="Times New Arabic" w:hAnsi="Times New Arabic"/>
          <w:b/>
          <w:bCs/>
          <w:sz w:val="24"/>
          <w:szCs w:val="24"/>
        </w:rPr>
      </w:pPr>
      <w:r w:rsidRPr="00944F9E">
        <w:rPr>
          <w:rFonts w:ascii="Times New Arabic" w:hAnsi="Times New Arabic"/>
          <w:b/>
          <w:bCs/>
          <w:sz w:val="24"/>
          <w:szCs w:val="24"/>
        </w:rPr>
        <w:t>ABSTRAK</w:t>
      </w:r>
    </w:p>
    <w:p w14:paraId="4761A351" w14:textId="50DE6273" w:rsidR="00944F9E" w:rsidRPr="00534E22" w:rsidRDefault="00944F9E" w:rsidP="0057609C">
      <w:pPr>
        <w:spacing w:before="240" w:after="0" w:line="360" w:lineRule="auto"/>
        <w:jc w:val="both"/>
        <w:rPr>
          <w:rFonts w:ascii="Times New Arabic" w:hAnsi="Times New Arabic"/>
          <w:bCs/>
          <w:sz w:val="24"/>
          <w:szCs w:val="24"/>
          <w:lang w:val="pt-BR"/>
        </w:rPr>
      </w:pPr>
      <w:r w:rsidRPr="00944F9E">
        <w:rPr>
          <w:rFonts w:ascii="Times New Arabic" w:hAnsi="Times New Arabic"/>
          <w:bCs/>
          <w:sz w:val="24"/>
          <w:szCs w:val="24"/>
        </w:rPr>
        <w:t xml:space="preserve">Maraknya praktik judi </w:t>
      </w:r>
      <w:r w:rsidR="0024003A" w:rsidRPr="0024003A">
        <w:rPr>
          <w:rFonts w:ascii="Times New Arabic" w:hAnsi="Times New Arabic"/>
          <w:bCs/>
          <w:i/>
          <w:sz w:val="24"/>
          <w:szCs w:val="24"/>
        </w:rPr>
        <w:t>online</w:t>
      </w:r>
      <w:r w:rsidRPr="00944F9E">
        <w:rPr>
          <w:rFonts w:ascii="Times New Arabic" w:hAnsi="Times New Arabic"/>
          <w:bCs/>
          <w:sz w:val="24"/>
          <w:szCs w:val="24"/>
        </w:rPr>
        <w:t xml:space="preserve"> di Indonesia menimbulkan krisis finansial dan moral yang secara masif mengancam ketahanan institusi keluarga. Meskipun pemerintah telah menerapkan berbagai regulasi siber, angka perjudian daring tetap signifikan dan memicu keretakan domestik. </w:t>
      </w:r>
      <w:r w:rsidRPr="00534E22">
        <w:rPr>
          <w:rFonts w:ascii="Times New Arabic" w:hAnsi="Times New Arabic"/>
          <w:bCs/>
          <w:sz w:val="24"/>
          <w:szCs w:val="24"/>
          <w:lang w:val="pt-BR"/>
        </w:rPr>
        <w:t xml:space="preserve">Kajian terdahulu umumnya mengulas fenomena ini secara parsial melalui kacamata hukum formal, dampak ekonomi, serta degradasi moral masyarakat umum. Penelitian ini hadir mengisi kekosongan akademis tersebut dengan mengintegrasikan tafsir ayat-ayat </w:t>
      </w:r>
      <w:r w:rsidR="006313C3" w:rsidRPr="00534E22">
        <w:rPr>
          <w:rFonts w:ascii="Times New Arabic" w:hAnsi="Times New Arabic"/>
          <w:bCs/>
          <w:i/>
          <w:sz w:val="24"/>
          <w:szCs w:val="24"/>
          <w:lang w:val="pt-BR"/>
        </w:rPr>
        <w:t>Maisir</w:t>
      </w:r>
      <w:r w:rsidRPr="00534E22">
        <w:rPr>
          <w:rFonts w:ascii="Times New Arabic" w:hAnsi="Times New Arabic"/>
          <w:bCs/>
          <w:sz w:val="24"/>
          <w:szCs w:val="24"/>
          <w:lang w:val="pt-BR"/>
        </w:rPr>
        <w:t xml:space="preserve"> secara spesifik ke dalam konsep ketahanan keluarga di era digital. Melalui metode penelitian kepustakaan (</w:t>
      </w:r>
      <w:r w:rsidRPr="00534E22">
        <w:rPr>
          <w:rFonts w:ascii="Times New Arabic" w:hAnsi="Times New Arabic"/>
          <w:bCs/>
          <w:i/>
          <w:sz w:val="24"/>
          <w:szCs w:val="24"/>
          <w:lang w:val="pt-BR"/>
        </w:rPr>
        <w:t>library</w:t>
      </w:r>
      <w:r w:rsidRPr="00534E22">
        <w:rPr>
          <w:rFonts w:ascii="Times New Arabic" w:hAnsi="Times New Arabic"/>
          <w:bCs/>
          <w:sz w:val="24"/>
          <w:szCs w:val="24"/>
          <w:lang w:val="pt-BR"/>
        </w:rPr>
        <w:t xml:space="preserve"> </w:t>
      </w:r>
      <w:r w:rsidRPr="00534E22">
        <w:rPr>
          <w:rFonts w:ascii="Times New Arabic" w:hAnsi="Times New Arabic"/>
          <w:bCs/>
          <w:i/>
          <w:sz w:val="24"/>
          <w:szCs w:val="24"/>
          <w:lang w:val="pt-BR"/>
        </w:rPr>
        <w:t>research</w:t>
      </w:r>
      <w:r w:rsidRPr="00534E22">
        <w:rPr>
          <w:rFonts w:ascii="Times New Arabic" w:hAnsi="Times New Arabic"/>
          <w:bCs/>
          <w:sz w:val="24"/>
          <w:szCs w:val="24"/>
          <w:lang w:val="pt-BR"/>
        </w:rPr>
        <w:t>) berbasis pendekatan kualitatif-tafsir tematik (</w:t>
      </w:r>
      <w:r w:rsidRPr="00534E22">
        <w:rPr>
          <w:rFonts w:ascii="Times New Arabic" w:hAnsi="Times New Arabic"/>
          <w:bCs/>
          <w:i/>
          <w:sz w:val="24"/>
          <w:szCs w:val="24"/>
          <w:lang w:val="pt-BR"/>
        </w:rPr>
        <w:t>maudhu’i</w:t>
      </w:r>
      <w:r w:rsidRPr="00534E22">
        <w:rPr>
          <w:rFonts w:ascii="Times New Arabic" w:hAnsi="Times New Arabic"/>
          <w:bCs/>
          <w:sz w:val="24"/>
          <w:szCs w:val="24"/>
          <w:lang w:val="pt-BR"/>
        </w:rPr>
        <w:t xml:space="preserve">), data dikumpulkan dari ayat Al-Qur'an terkait serta literatur pendukung ilmiah. Hasil penelitian menunjukkan bahwa larangan </w:t>
      </w:r>
      <w:r w:rsidR="006313C3" w:rsidRPr="00534E22">
        <w:rPr>
          <w:rFonts w:ascii="Times New Arabic" w:hAnsi="Times New Arabic"/>
          <w:bCs/>
          <w:i/>
          <w:sz w:val="24"/>
          <w:szCs w:val="24"/>
          <w:lang w:val="pt-BR"/>
        </w:rPr>
        <w:t>maisir</w:t>
      </w:r>
      <w:r w:rsidRPr="00534E22">
        <w:rPr>
          <w:rFonts w:ascii="Times New Arabic" w:hAnsi="Times New Arabic"/>
          <w:bCs/>
          <w:sz w:val="24"/>
          <w:szCs w:val="24"/>
          <w:lang w:val="pt-BR"/>
        </w:rPr>
        <w:t xml:space="preserve"> dalam Surah al-Ma'idah ayat 90–91 memiliki relevansi kontekstual yang kuat terhadap judi </w:t>
      </w:r>
      <w:r w:rsidR="0024003A" w:rsidRPr="00534E22">
        <w:rPr>
          <w:rFonts w:ascii="Times New Arabic" w:hAnsi="Times New Arabic"/>
          <w:bCs/>
          <w:i/>
          <w:iCs/>
          <w:sz w:val="24"/>
          <w:szCs w:val="24"/>
          <w:lang w:val="pt-BR"/>
        </w:rPr>
        <w:t>online</w:t>
      </w:r>
      <w:r w:rsidRPr="00534E22">
        <w:rPr>
          <w:rFonts w:ascii="Times New Arabic" w:hAnsi="Times New Arabic"/>
          <w:bCs/>
          <w:sz w:val="24"/>
          <w:szCs w:val="24"/>
          <w:lang w:val="pt-BR"/>
        </w:rPr>
        <w:t xml:space="preserve"> karena kesamaan dampak destruktifnya. Sebagai solusi preventif, Al-Qur’an menawarkan model empat pilar ketahanan domestik yang meliputi penguatan </w:t>
      </w:r>
      <w:r w:rsidRPr="00534E22">
        <w:rPr>
          <w:rFonts w:ascii="Times New Arabic" w:hAnsi="Times New Arabic"/>
          <w:bCs/>
          <w:sz w:val="24"/>
          <w:szCs w:val="24"/>
          <w:lang w:val="pt-BR"/>
        </w:rPr>
        <w:lastRenderedPageBreak/>
        <w:t>spiritual, jaminan rezeki halal, selektivitas lingkungan sosial, dan manajemen aset. Penelitian ini menyimpulkan bahwa nilai Qur’ani terbukti efektif sebagai pedoman praktis-transformatif dalam membentengi keluarga dari disrupsi digital.</w:t>
      </w:r>
    </w:p>
    <w:p w14:paraId="6C3FAA4C" w14:textId="20173B93" w:rsidR="00944F9E" w:rsidRDefault="00944F9E" w:rsidP="009012F2">
      <w:pPr>
        <w:spacing w:after="0" w:line="360" w:lineRule="auto"/>
        <w:jc w:val="both"/>
        <w:rPr>
          <w:rFonts w:ascii="Times New Arabic" w:hAnsi="Times New Arabic"/>
          <w:b/>
          <w:bCs/>
          <w:sz w:val="24"/>
          <w:szCs w:val="24"/>
        </w:rPr>
      </w:pPr>
      <w:r w:rsidRPr="009012F2">
        <w:rPr>
          <w:rFonts w:ascii="Times New Arabic" w:hAnsi="Times New Arabic"/>
          <w:b/>
          <w:bCs/>
          <w:sz w:val="24"/>
          <w:szCs w:val="24"/>
        </w:rPr>
        <w:t xml:space="preserve">Kata Kunci: Judi </w:t>
      </w:r>
      <w:r w:rsidR="0024003A" w:rsidRPr="0024003A">
        <w:rPr>
          <w:rFonts w:ascii="Times New Arabic" w:hAnsi="Times New Arabic"/>
          <w:b/>
          <w:bCs/>
          <w:i/>
          <w:sz w:val="24"/>
          <w:szCs w:val="24"/>
        </w:rPr>
        <w:t>Online</w:t>
      </w:r>
      <w:r w:rsidRPr="009012F2">
        <w:rPr>
          <w:rFonts w:ascii="Times New Arabic" w:hAnsi="Times New Arabic"/>
          <w:b/>
          <w:bCs/>
          <w:sz w:val="24"/>
          <w:szCs w:val="24"/>
        </w:rPr>
        <w:t xml:space="preserve">, Ketahanan Keluarga, Larangan </w:t>
      </w:r>
      <w:r w:rsidR="006313C3">
        <w:rPr>
          <w:rFonts w:ascii="Times New Arabic" w:hAnsi="Times New Arabic"/>
          <w:b/>
          <w:bCs/>
          <w:i/>
          <w:sz w:val="24"/>
          <w:szCs w:val="24"/>
        </w:rPr>
        <w:t>Mai</w:t>
      </w:r>
      <w:r w:rsidR="006313C3" w:rsidRPr="006313C3">
        <w:rPr>
          <w:rFonts w:ascii="Times New Arabic" w:hAnsi="Times New Arabic"/>
          <w:b/>
          <w:bCs/>
          <w:i/>
          <w:sz w:val="24"/>
          <w:szCs w:val="24"/>
        </w:rPr>
        <w:t>sir</w:t>
      </w:r>
      <w:r w:rsidRPr="009012F2">
        <w:rPr>
          <w:rFonts w:ascii="Times New Arabic" w:hAnsi="Times New Arabic"/>
          <w:b/>
          <w:bCs/>
          <w:sz w:val="24"/>
          <w:szCs w:val="24"/>
        </w:rPr>
        <w:t>, Tafsir Tematik.</w:t>
      </w:r>
    </w:p>
    <w:p w14:paraId="3655381E" w14:textId="77777777" w:rsidR="00CE61A4" w:rsidRDefault="00CE61A4" w:rsidP="009012F2">
      <w:pPr>
        <w:spacing w:after="0" w:line="360" w:lineRule="auto"/>
        <w:jc w:val="both"/>
        <w:rPr>
          <w:rFonts w:ascii="Times New Arabic" w:hAnsi="Times New Arabic"/>
          <w:b/>
          <w:bCs/>
          <w:sz w:val="24"/>
          <w:szCs w:val="24"/>
        </w:rPr>
      </w:pPr>
    </w:p>
    <w:p w14:paraId="7D403F96" w14:textId="77777777" w:rsidR="00CE79F6" w:rsidRPr="00CE79F6" w:rsidRDefault="00CE79F6" w:rsidP="009012F2">
      <w:pPr>
        <w:spacing w:after="0" w:line="360" w:lineRule="auto"/>
        <w:jc w:val="both"/>
        <w:rPr>
          <w:rFonts w:ascii="Times New Arabic" w:hAnsi="Times New Arabic"/>
          <w:b/>
          <w:bCs/>
          <w:sz w:val="24"/>
          <w:szCs w:val="24"/>
        </w:rPr>
      </w:pPr>
      <w:r w:rsidRPr="00CE79F6">
        <w:rPr>
          <w:rFonts w:ascii="Times New Arabic" w:hAnsi="Times New Arabic"/>
          <w:b/>
          <w:bCs/>
          <w:sz w:val="24"/>
          <w:szCs w:val="24"/>
        </w:rPr>
        <w:t>INTRODUCTION</w:t>
      </w:r>
    </w:p>
    <w:p w14:paraId="6B8479B9" w14:textId="24E6BBEC" w:rsidR="00CE79F6" w:rsidRPr="00CE79F6" w:rsidRDefault="00CE79F6" w:rsidP="000A354F">
      <w:pPr>
        <w:spacing w:after="0" w:line="360" w:lineRule="auto"/>
        <w:ind w:firstLine="567"/>
        <w:jc w:val="both"/>
        <w:rPr>
          <w:rFonts w:ascii="Times New Arabic" w:hAnsi="Times New Arabic"/>
          <w:bCs/>
          <w:sz w:val="24"/>
          <w:szCs w:val="24"/>
        </w:rPr>
      </w:pPr>
      <w:r w:rsidRPr="00CE79F6">
        <w:rPr>
          <w:rFonts w:ascii="Times New Arabic" w:hAnsi="Times New Arabic"/>
          <w:bCs/>
          <w:sz w:val="24"/>
          <w:szCs w:val="24"/>
        </w:rPr>
        <w:t xml:space="preserve">In Indonesia, with increasing internet access and advances in digital technology, </w:t>
      </w:r>
      <w:r w:rsidR="0024003A" w:rsidRPr="0024003A">
        <w:rPr>
          <w:rFonts w:ascii="Times New Arabic" w:hAnsi="Times New Arabic"/>
          <w:bCs/>
          <w:sz w:val="24"/>
          <w:szCs w:val="24"/>
        </w:rPr>
        <w:t>online</w:t>
      </w:r>
      <w:r w:rsidRPr="00CE79F6">
        <w:rPr>
          <w:rFonts w:ascii="Times New Arabic" w:hAnsi="Times New Arabic"/>
          <w:bCs/>
          <w:sz w:val="24"/>
          <w:szCs w:val="24"/>
        </w:rPr>
        <w:t xml:space="preserve"> gambling has become a rapidly growing phenomenon. In recent years, </w:t>
      </w:r>
      <w:r w:rsidR="0024003A" w:rsidRPr="0024003A">
        <w:rPr>
          <w:rFonts w:ascii="Times New Arabic" w:hAnsi="Times New Arabic"/>
          <w:bCs/>
          <w:sz w:val="24"/>
          <w:szCs w:val="24"/>
        </w:rPr>
        <w:t>online</w:t>
      </w:r>
      <w:r w:rsidRPr="00CE79F6">
        <w:rPr>
          <w:rFonts w:ascii="Times New Arabic" w:hAnsi="Times New Arabic"/>
          <w:bCs/>
          <w:sz w:val="24"/>
          <w:szCs w:val="24"/>
        </w:rPr>
        <w:t xml:space="preserve"> gambling sites have become increasingly prevale</w:t>
      </w:r>
      <w:r>
        <w:rPr>
          <w:rFonts w:ascii="Times New Arabic" w:hAnsi="Times New Arabic"/>
          <w:bCs/>
          <w:sz w:val="24"/>
          <w:szCs w:val="24"/>
        </w:rPr>
        <w:t>nt and are easily accessible by various segments of society.</w:t>
      </w:r>
      <w:r>
        <w:rPr>
          <w:rStyle w:val="FootnoteReference"/>
          <w:rFonts w:ascii="Times New Arabic" w:hAnsi="Times New Arabic"/>
          <w:bCs/>
          <w:sz w:val="24"/>
          <w:szCs w:val="24"/>
        </w:rPr>
        <w:footnoteReference w:id="1"/>
      </w:r>
      <w:r w:rsidRPr="00CE79F6">
        <w:rPr>
          <w:rFonts w:ascii="Times New Arabic" w:hAnsi="Times New Arabic"/>
          <w:bCs/>
          <w:sz w:val="24"/>
          <w:szCs w:val="24"/>
        </w:rPr>
        <w:t xml:space="preserve"> This phenomenon has become a very concerning issue due to its significant impact on th</w:t>
      </w:r>
      <w:r>
        <w:rPr>
          <w:rFonts w:ascii="Times New Arabic" w:hAnsi="Times New Arabic"/>
          <w:bCs/>
          <w:sz w:val="24"/>
          <w:szCs w:val="24"/>
        </w:rPr>
        <w:t>e social life of the community.</w:t>
      </w:r>
      <w:r>
        <w:rPr>
          <w:rStyle w:val="FootnoteReference"/>
          <w:rFonts w:ascii="Times New Arabic" w:hAnsi="Times New Arabic"/>
          <w:bCs/>
          <w:sz w:val="24"/>
          <w:szCs w:val="24"/>
        </w:rPr>
        <w:footnoteReference w:id="2"/>
      </w:r>
      <w:r w:rsidRPr="00CE79F6">
        <w:rPr>
          <w:rFonts w:ascii="Times New Arabic" w:hAnsi="Times New Arabic"/>
          <w:bCs/>
          <w:sz w:val="24"/>
          <w:szCs w:val="24"/>
        </w:rPr>
        <w:t xml:space="preserve"> The rapid growth of </w:t>
      </w:r>
      <w:r w:rsidR="0024003A" w:rsidRPr="0024003A">
        <w:rPr>
          <w:rFonts w:ascii="Times New Arabic" w:hAnsi="Times New Arabic"/>
          <w:bCs/>
          <w:sz w:val="24"/>
          <w:szCs w:val="24"/>
        </w:rPr>
        <w:t>online</w:t>
      </w:r>
      <w:r w:rsidRPr="00CE79F6">
        <w:rPr>
          <w:rFonts w:ascii="Times New Arabic" w:hAnsi="Times New Arabic"/>
          <w:bCs/>
          <w:sz w:val="24"/>
          <w:szCs w:val="24"/>
        </w:rPr>
        <w:t xml:space="preserve"> gambling indicates that the misuse of digital technology is becoming increasingly difficult to control.</w:t>
      </w:r>
    </w:p>
    <w:p w14:paraId="543EB141" w14:textId="016D3473" w:rsidR="00CE79F6" w:rsidRPr="00CE79F6" w:rsidRDefault="00CE79F6" w:rsidP="000A354F">
      <w:pPr>
        <w:spacing w:after="0" w:line="360" w:lineRule="auto"/>
        <w:ind w:firstLine="567"/>
        <w:jc w:val="both"/>
        <w:rPr>
          <w:rFonts w:ascii="Times New Arabic" w:hAnsi="Times New Arabic"/>
          <w:bCs/>
          <w:sz w:val="24"/>
          <w:szCs w:val="24"/>
        </w:rPr>
      </w:pPr>
      <w:r w:rsidRPr="00CE79F6">
        <w:rPr>
          <w:rFonts w:ascii="Times New Arabic" w:hAnsi="Times New Arabic"/>
          <w:bCs/>
          <w:sz w:val="24"/>
          <w:szCs w:val="24"/>
        </w:rPr>
        <w:t xml:space="preserve">This phenomenon is also evident in various official data showing the shifts and dynamics of </w:t>
      </w:r>
      <w:r w:rsidR="0024003A" w:rsidRPr="0024003A">
        <w:rPr>
          <w:rFonts w:ascii="Times New Arabic" w:hAnsi="Times New Arabic"/>
          <w:bCs/>
          <w:sz w:val="24"/>
          <w:szCs w:val="24"/>
        </w:rPr>
        <w:t>online</w:t>
      </w:r>
      <w:r w:rsidRPr="00CE79F6">
        <w:rPr>
          <w:rFonts w:ascii="Times New Arabic" w:hAnsi="Times New Arabic"/>
          <w:bCs/>
          <w:sz w:val="24"/>
          <w:szCs w:val="24"/>
        </w:rPr>
        <w:t xml:space="preserve"> gambling practices in Indonesia over the past few years. According to an official report from the Financial Transaction Reporting and Analysis Center (PPATK) in 2025, the cumulative turnover of </w:t>
      </w:r>
      <w:r w:rsidR="0024003A" w:rsidRPr="0024003A">
        <w:rPr>
          <w:rFonts w:ascii="Times New Arabic" w:hAnsi="Times New Arabic"/>
          <w:bCs/>
          <w:sz w:val="24"/>
          <w:szCs w:val="24"/>
        </w:rPr>
        <w:t>online</w:t>
      </w:r>
      <w:r w:rsidRPr="00CE79F6">
        <w:rPr>
          <w:rFonts w:ascii="Times New Arabic" w:hAnsi="Times New Arabic"/>
          <w:bCs/>
          <w:sz w:val="24"/>
          <w:szCs w:val="24"/>
        </w:rPr>
        <w:t xml:space="preserve"> gambling in Indonesia has actually been successfully reduced from 2024—when it reached Rp359.8 trillion—to Rp286.84 trillion in 2025, with </w:t>
      </w:r>
      <w:r w:rsidRPr="00CE79F6">
        <w:rPr>
          <w:rFonts w:ascii="Times New Arabic" w:hAnsi="Times New Arabic"/>
          <w:bCs/>
          <w:sz w:val="24"/>
          <w:szCs w:val="24"/>
        </w:rPr>
        <w:lastRenderedPageBreak/>
        <w:t>a total transaction volume of 422.1 million trans</w:t>
      </w:r>
      <w:r>
        <w:rPr>
          <w:rFonts w:ascii="Times New Arabic" w:hAnsi="Times New Arabic"/>
          <w:bCs/>
          <w:sz w:val="24"/>
          <w:szCs w:val="24"/>
        </w:rPr>
        <w:t>actions.</w:t>
      </w:r>
      <w:r>
        <w:rPr>
          <w:rStyle w:val="FootnoteReference"/>
          <w:rFonts w:ascii="Times New Arabic" w:hAnsi="Times New Arabic"/>
          <w:bCs/>
          <w:sz w:val="24"/>
          <w:szCs w:val="24"/>
        </w:rPr>
        <w:footnoteReference w:id="3"/>
      </w:r>
      <w:r w:rsidRPr="00CE79F6">
        <w:rPr>
          <w:rFonts w:ascii="Times New Arabic" w:hAnsi="Times New Arabic"/>
          <w:bCs/>
          <w:sz w:val="24"/>
          <w:szCs w:val="24"/>
        </w:rPr>
        <w:t xml:space="preserve"> Although showing a downward trend on a macro level, this </w:t>
      </w:r>
      <w:r w:rsidR="0024003A" w:rsidRPr="0024003A">
        <w:rPr>
          <w:rFonts w:ascii="Times New Arabic" w:hAnsi="Times New Arabic"/>
          <w:bCs/>
          <w:sz w:val="24"/>
          <w:szCs w:val="24"/>
        </w:rPr>
        <w:t>online</w:t>
      </w:r>
      <w:r w:rsidRPr="00CE79F6">
        <w:rPr>
          <w:rFonts w:ascii="Times New Arabic" w:hAnsi="Times New Arabic"/>
          <w:bCs/>
          <w:sz w:val="24"/>
          <w:szCs w:val="24"/>
        </w:rPr>
        <w:t xml:space="preserve"> gambling sector remains massive, having ensnared 12.3 million people who actively engage in transactions involv</w:t>
      </w:r>
      <w:r>
        <w:rPr>
          <w:rFonts w:ascii="Times New Arabic" w:hAnsi="Times New Arabic"/>
          <w:bCs/>
          <w:sz w:val="24"/>
          <w:szCs w:val="24"/>
        </w:rPr>
        <w:t>ing various financial services.</w:t>
      </w:r>
      <w:r>
        <w:rPr>
          <w:rStyle w:val="FootnoteReference"/>
          <w:rFonts w:ascii="Times New Arabic" w:hAnsi="Times New Arabic"/>
          <w:bCs/>
          <w:sz w:val="24"/>
          <w:szCs w:val="24"/>
        </w:rPr>
        <w:footnoteReference w:id="4"/>
      </w:r>
      <w:r w:rsidRPr="00CE79F6">
        <w:rPr>
          <w:rFonts w:ascii="Times New Arabic" w:hAnsi="Times New Arabic"/>
          <w:bCs/>
          <w:sz w:val="24"/>
          <w:szCs w:val="24"/>
        </w:rPr>
        <w:t xml:space="preserve"> The fact that the remaining turnover still reaches hundreds of trillions of rupiah indicates that </w:t>
      </w:r>
      <w:r w:rsidR="0024003A" w:rsidRPr="0024003A">
        <w:rPr>
          <w:rFonts w:ascii="Times New Arabic" w:hAnsi="Times New Arabic"/>
          <w:bCs/>
          <w:sz w:val="24"/>
          <w:szCs w:val="24"/>
        </w:rPr>
        <w:t>online</w:t>
      </w:r>
      <w:r w:rsidRPr="00CE79F6">
        <w:rPr>
          <w:rFonts w:ascii="Times New Arabic" w:hAnsi="Times New Arabic"/>
          <w:bCs/>
          <w:sz w:val="24"/>
          <w:szCs w:val="24"/>
        </w:rPr>
        <w:t xml:space="preserve"> gambling is no longer a simple issue, but a real threat that undermines the economic order of society and destroys family stability.</w:t>
      </w:r>
    </w:p>
    <w:p w14:paraId="392EB825" w14:textId="037614E7" w:rsidR="00A901A7" w:rsidRPr="00A901A7" w:rsidRDefault="00CE79F6" w:rsidP="000A354F">
      <w:pPr>
        <w:spacing w:after="0" w:line="360" w:lineRule="auto"/>
        <w:ind w:firstLine="567"/>
        <w:jc w:val="both"/>
        <w:rPr>
          <w:rFonts w:ascii="Times New Arabic" w:hAnsi="Times New Arabic"/>
          <w:bCs/>
          <w:sz w:val="24"/>
          <w:szCs w:val="24"/>
        </w:rPr>
      </w:pPr>
      <w:r w:rsidRPr="00CE79F6">
        <w:rPr>
          <w:rFonts w:ascii="Times New Arabic" w:hAnsi="Times New Arabic"/>
          <w:bCs/>
          <w:sz w:val="24"/>
          <w:szCs w:val="24"/>
        </w:rPr>
        <w:t xml:space="preserve">The rise in </w:t>
      </w:r>
      <w:r w:rsidR="0024003A" w:rsidRPr="0024003A">
        <w:rPr>
          <w:rFonts w:ascii="Times New Arabic" w:hAnsi="Times New Arabic"/>
          <w:bCs/>
          <w:sz w:val="24"/>
          <w:szCs w:val="24"/>
        </w:rPr>
        <w:t>online</w:t>
      </w:r>
      <w:r w:rsidRPr="00CE79F6">
        <w:rPr>
          <w:rFonts w:ascii="Times New Arabic" w:hAnsi="Times New Arabic"/>
          <w:bCs/>
          <w:sz w:val="24"/>
          <w:szCs w:val="24"/>
        </w:rPr>
        <w:t xml:space="preserve"> gambling cases in Indonesia is having increasingly alarming consequences. This phenomenon brings about various negative consequences, both socially and legally, such as economic problems, family breakdowns, divorce, and mental health issues. In addition, </w:t>
      </w:r>
      <w:r w:rsidR="0024003A" w:rsidRPr="0024003A">
        <w:rPr>
          <w:rFonts w:ascii="Times New Arabic" w:hAnsi="Times New Arabic"/>
          <w:bCs/>
          <w:sz w:val="24"/>
          <w:szCs w:val="24"/>
        </w:rPr>
        <w:t>online</w:t>
      </w:r>
      <w:r w:rsidRPr="00CE79F6">
        <w:rPr>
          <w:rFonts w:ascii="Times New Arabic" w:hAnsi="Times New Arabic"/>
          <w:bCs/>
          <w:sz w:val="24"/>
          <w:szCs w:val="24"/>
        </w:rPr>
        <w:t xml:space="preserve"> gambling often triggers criminal acts, such</w:t>
      </w:r>
      <w:r>
        <w:rPr>
          <w:rFonts w:ascii="Times New Arabic" w:hAnsi="Times New Arabic"/>
          <w:bCs/>
          <w:sz w:val="24"/>
          <w:szCs w:val="24"/>
        </w:rPr>
        <w:t xml:space="preserve"> as theft, fraud, and violence.</w:t>
      </w:r>
      <w:r>
        <w:rPr>
          <w:rStyle w:val="FootnoteReference"/>
          <w:rFonts w:ascii="Times New Arabic" w:hAnsi="Times New Arabic"/>
          <w:bCs/>
          <w:sz w:val="24"/>
          <w:szCs w:val="24"/>
        </w:rPr>
        <w:footnoteReference w:id="5"/>
      </w:r>
      <w:r w:rsidRPr="00CE79F6">
        <w:rPr>
          <w:rFonts w:ascii="Times New Arabic" w:hAnsi="Times New Arabic"/>
          <w:bCs/>
          <w:sz w:val="24"/>
          <w:szCs w:val="24"/>
        </w:rPr>
        <w:t xml:space="preserve"> These far-reaching destructive impacts are not merely</w:t>
      </w:r>
      <w:r w:rsidR="00A901A7">
        <w:rPr>
          <w:rFonts w:ascii="Times New Arabic" w:hAnsi="Times New Arabic"/>
          <w:bCs/>
          <w:sz w:val="24"/>
          <w:szCs w:val="24"/>
        </w:rPr>
        <w:t xml:space="preserve"> </w:t>
      </w:r>
      <w:r w:rsidR="00A901A7" w:rsidRPr="00A901A7">
        <w:rPr>
          <w:rFonts w:ascii="Times New Arabic" w:hAnsi="Times New Arabic"/>
          <w:bCs/>
          <w:sz w:val="24"/>
          <w:szCs w:val="24"/>
        </w:rPr>
        <w:t xml:space="preserve">legal and social issues but also touch upon the religious sphere. The current prevalence of </w:t>
      </w:r>
      <w:r w:rsidR="0024003A" w:rsidRPr="0024003A">
        <w:rPr>
          <w:rFonts w:ascii="Times New Arabic" w:hAnsi="Times New Arabic"/>
          <w:bCs/>
          <w:sz w:val="24"/>
          <w:szCs w:val="24"/>
        </w:rPr>
        <w:t>online</w:t>
      </w:r>
      <w:r w:rsidR="00A901A7" w:rsidRPr="00A901A7">
        <w:rPr>
          <w:rFonts w:ascii="Times New Arabic" w:hAnsi="Times New Arabic"/>
          <w:bCs/>
          <w:sz w:val="24"/>
          <w:szCs w:val="24"/>
        </w:rPr>
        <w:t xml:space="preserve"> gambling is a matter that requires serious attention because its effects are not only felt by the participants but can also impact the har</w:t>
      </w:r>
      <w:r w:rsidR="00A901A7">
        <w:rPr>
          <w:rFonts w:ascii="Times New Arabic" w:hAnsi="Times New Arabic"/>
          <w:bCs/>
          <w:sz w:val="24"/>
          <w:szCs w:val="24"/>
        </w:rPr>
        <w:t>mony and integrity of families.</w:t>
      </w:r>
      <w:r w:rsidR="00A901A7">
        <w:rPr>
          <w:rStyle w:val="FootnoteReference"/>
          <w:rFonts w:ascii="Times New Arabic" w:hAnsi="Times New Arabic"/>
          <w:bCs/>
          <w:sz w:val="24"/>
          <w:szCs w:val="24"/>
        </w:rPr>
        <w:footnoteReference w:id="6"/>
      </w:r>
    </w:p>
    <w:p w14:paraId="505B28C0" w14:textId="34A7F173" w:rsidR="00A901A7" w:rsidRPr="00A901A7" w:rsidRDefault="00A901A7" w:rsidP="000A354F">
      <w:pPr>
        <w:spacing w:after="0" w:line="360" w:lineRule="auto"/>
        <w:ind w:firstLine="567"/>
        <w:jc w:val="both"/>
        <w:rPr>
          <w:rFonts w:ascii="Times New Arabic" w:hAnsi="Times New Arabic"/>
          <w:bCs/>
          <w:sz w:val="24"/>
          <w:szCs w:val="24"/>
        </w:rPr>
      </w:pPr>
      <w:r w:rsidRPr="00A901A7">
        <w:rPr>
          <w:rFonts w:ascii="Times New Arabic" w:hAnsi="Times New Arabic"/>
          <w:bCs/>
          <w:sz w:val="24"/>
          <w:szCs w:val="24"/>
        </w:rPr>
        <w:lastRenderedPageBreak/>
        <w:t xml:space="preserve">In Islam, </w:t>
      </w:r>
      <w:r w:rsidR="0024003A" w:rsidRPr="0024003A">
        <w:rPr>
          <w:rFonts w:ascii="Times New Arabic" w:hAnsi="Times New Arabic"/>
          <w:bCs/>
          <w:sz w:val="24"/>
          <w:szCs w:val="24"/>
        </w:rPr>
        <w:t>online</w:t>
      </w:r>
      <w:r w:rsidRPr="00A901A7">
        <w:rPr>
          <w:rFonts w:ascii="Times New Arabic" w:hAnsi="Times New Arabic"/>
          <w:bCs/>
          <w:sz w:val="24"/>
          <w:szCs w:val="24"/>
        </w:rPr>
        <w:t xml:space="preserve"> gambling is viewed as an act contrary to moral values and religio</w:t>
      </w:r>
      <w:r>
        <w:rPr>
          <w:rFonts w:ascii="Times New Arabic" w:hAnsi="Times New Arabic"/>
          <w:bCs/>
          <w:sz w:val="24"/>
          <w:szCs w:val="24"/>
        </w:rPr>
        <w:t>us teachings.</w:t>
      </w:r>
      <w:r>
        <w:rPr>
          <w:rStyle w:val="FootnoteReference"/>
          <w:rFonts w:ascii="Times New Arabic" w:hAnsi="Times New Arabic"/>
          <w:bCs/>
          <w:sz w:val="24"/>
          <w:szCs w:val="24"/>
        </w:rPr>
        <w:footnoteReference w:id="7"/>
      </w:r>
      <w:r w:rsidRPr="00A901A7">
        <w:rPr>
          <w:rFonts w:ascii="Times New Arabic" w:hAnsi="Times New Arabic"/>
          <w:bCs/>
          <w:sz w:val="24"/>
          <w:szCs w:val="24"/>
        </w:rPr>
        <w:t xml:space="preserve"> Given the increasingly widespread impact of </w:t>
      </w:r>
      <w:r w:rsidR="0024003A" w:rsidRPr="0024003A">
        <w:rPr>
          <w:rFonts w:ascii="Times New Arabic" w:hAnsi="Times New Arabic"/>
          <w:bCs/>
          <w:sz w:val="24"/>
          <w:szCs w:val="24"/>
        </w:rPr>
        <w:t>online</w:t>
      </w:r>
      <w:r w:rsidRPr="00A901A7">
        <w:rPr>
          <w:rFonts w:ascii="Times New Arabic" w:hAnsi="Times New Arabic"/>
          <w:bCs/>
          <w:sz w:val="24"/>
          <w:szCs w:val="24"/>
        </w:rPr>
        <w:t xml:space="preserve"> gambling across various aspects of life, it is important to examine the Qur’an’s perspective on this practice, particularly regarding social life and family resilience. This phenomenon is an urgent issue that must be studied from the Qur’anic perspective.</w:t>
      </w:r>
    </w:p>
    <w:p w14:paraId="23337E98" w14:textId="32EB8E87" w:rsidR="00A901A7" w:rsidRPr="00A901A7" w:rsidRDefault="00A901A7" w:rsidP="000A354F">
      <w:pPr>
        <w:spacing w:after="0" w:line="360" w:lineRule="auto"/>
        <w:ind w:firstLine="567"/>
        <w:jc w:val="both"/>
        <w:rPr>
          <w:rFonts w:ascii="Times New Arabic" w:hAnsi="Times New Arabic"/>
          <w:bCs/>
          <w:sz w:val="24"/>
          <w:szCs w:val="24"/>
        </w:rPr>
      </w:pPr>
      <w:r w:rsidRPr="00A901A7">
        <w:rPr>
          <w:rFonts w:ascii="Times New Arabic" w:hAnsi="Times New Arabic"/>
          <w:bCs/>
          <w:sz w:val="24"/>
          <w:szCs w:val="24"/>
        </w:rPr>
        <w:t xml:space="preserve">A review of previous research reveals that the phenomenon of </w:t>
      </w:r>
      <w:r w:rsidR="0024003A" w:rsidRPr="0024003A">
        <w:rPr>
          <w:rFonts w:ascii="Times New Arabic" w:hAnsi="Times New Arabic"/>
          <w:bCs/>
          <w:sz w:val="24"/>
          <w:szCs w:val="24"/>
        </w:rPr>
        <w:t>online</w:t>
      </w:r>
      <w:r w:rsidRPr="00A901A7">
        <w:rPr>
          <w:rFonts w:ascii="Times New Arabic" w:hAnsi="Times New Arabic"/>
          <w:bCs/>
          <w:sz w:val="24"/>
          <w:szCs w:val="24"/>
        </w:rPr>
        <w:t xml:space="preserve"> gambling has been extensively discussed from various perspectives. Legal issues and its impact on family harmony, for example, have</w:t>
      </w:r>
      <w:r>
        <w:rPr>
          <w:rFonts w:ascii="Times New Arabic" w:hAnsi="Times New Arabic"/>
          <w:bCs/>
          <w:sz w:val="24"/>
          <w:szCs w:val="24"/>
        </w:rPr>
        <w:t xml:space="preserve"> been analyzed by Yulida et al.</w:t>
      </w:r>
      <w:r>
        <w:rPr>
          <w:rStyle w:val="FootnoteReference"/>
          <w:rFonts w:ascii="Times New Arabic" w:hAnsi="Times New Arabic"/>
          <w:bCs/>
          <w:sz w:val="24"/>
          <w:szCs w:val="24"/>
        </w:rPr>
        <w:footnoteReference w:id="8"/>
      </w:r>
      <w:r>
        <w:rPr>
          <w:rFonts w:ascii="Times New Arabic" w:hAnsi="Times New Arabic"/>
          <w:bCs/>
          <w:sz w:val="24"/>
          <w:szCs w:val="24"/>
        </w:rPr>
        <w:t xml:space="preserve"> and Asman</w:t>
      </w:r>
      <w:r w:rsidRPr="00A901A7">
        <w:rPr>
          <w:rFonts w:ascii="Times New Arabic" w:hAnsi="Times New Arabic"/>
          <w:bCs/>
          <w:sz w:val="24"/>
          <w:szCs w:val="24"/>
        </w:rPr>
        <w:t>.</w:t>
      </w:r>
      <w:r>
        <w:rPr>
          <w:rStyle w:val="FootnoteReference"/>
          <w:rFonts w:ascii="Times New Arabic" w:hAnsi="Times New Arabic"/>
          <w:bCs/>
          <w:sz w:val="24"/>
          <w:szCs w:val="24"/>
        </w:rPr>
        <w:footnoteReference w:id="9"/>
      </w:r>
      <w:r w:rsidRPr="00A901A7">
        <w:rPr>
          <w:rFonts w:ascii="Times New Arabic" w:hAnsi="Times New Arabic"/>
          <w:bCs/>
          <w:sz w:val="24"/>
          <w:szCs w:val="24"/>
        </w:rPr>
        <w:t xml:space="preserve"> These discussions were furt</w:t>
      </w:r>
      <w:r>
        <w:rPr>
          <w:rFonts w:ascii="Times New Arabic" w:hAnsi="Times New Arabic"/>
          <w:bCs/>
          <w:sz w:val="24"/>
          <w:szCs w:val="24"/>
        </w:rPr>
        <w:t>her supplemented by Serliyana</w:t>
      </w:r>
      <w:r w:rsidRPr="00A901A7">
        <w:rPr>
          <w:rFonts w:ascii="Times New Arabic" w:hAnsi="Times New Arabic"/>
          <w:bCs/>
          <w:sz w:val="24"/>
          <w:szCs w:val="24"/>
        </w:rPr>
        <w:t>,</w:t>
      </w:r>
      <w:r>
        <w:rPr>
          <w:rStyle w:val="FootnoteReference"/>
          <w:rFonts w:ascii="Times New Arabic" w:hAnsi="Times New Arabic"/>
          <w:bCs/>
          <w:sz w:val="24"/>
          <w:szCs w:val="24"/>
        </w:rPr>
        <w:footnoteReference w:id="10"/>
      </w:r>
      <w:r w:rsidRPr="00A901A7">
        <w:rPr>
          <w:rFonts w:ascii="Times New Arabic" w:hAnsi="Times New Arabic"/>
          <w:bCs/>
          <w:sz w:val="24"/>
          <w:szCs w:val="24"/>
        </w:rPr>
        <w:t xml:space="preserve"> who focused more on examining the impact of </w:t>
      </w:r>
      <w:r w:rsidR="0024003A" w:rsidRPr="0024003A">
        <w:rPr>
          <w:rFonts w:ascii="Times New Arabic" w:hAnsi="Times New Arabic"/>
          <w:bCs/>
          <w:sz w:val="24"/>
          <w:szCs w:val="24"/>
        </w:rPr>
        <w:t>online</w:t>
      </w:r>
      <w:r w:rsidRPr="00A901A7">
        <w:rPr>
          <w:rFonts w:ascii="Times New Arabic" w:hAnsi="Times New Arabic"/>
          <w:bCs/>
          <w:sz w:val="24"/>
          <w:szCs w:val="24"/>
        </w:rPr>
        <w:t xml:space="preserve"> gambling on families’ economic and financial conditions. On the other hand, the contextualization of Quranic verses regarding modern gambling phenomena has also been con</w:t>
      </w:r>
      <w:r>
        <w:rPr>
          <w:rFonts w:ascii="Times New Arabic" w:hAnsi="Times New Arabic"/>
          <w:bCs/>
          <w:sz w:val="24"/>
          <w:szCs w:val="24"/>
        </w:rPr>
        <w:t>ducted by Ririn and Syamzaimar</w:t>
      </w:r>
      <w:r>
        <w:rPr>
          <w:rStyle w:val="FootnoteReference"/>
          <w:rFonts w:ascii="Times New Arabic" w:hAnsi="Times New Arabic"/>
          <w:bCs/>
          <w:sz w:val="24"/>
          <w:szCs w:val="24"/>
        </w:rPr>
        <w:footnoteReference w:id="11"/>
      </w:r>
      <w:r w:rsidRPr="00A901A7">
        <w:rPr>
          <w:rFonts w:ascii="Times New Arabic" w:hAnsi="Times New Arabic"/>
          <w:bCs/>
          <w:sz w:val="24"/>
          <w:szCs w:val="24"/>
        </w:rPr>
        <w:t xml:space="preserve"> as</w:t>
      </w:r>
      <w:r>
        <w:rPr>
          <w:rFonts w:ascii="Times New Arabic" w:hAnsi="Times New Arabic"/>
          <w:bCs/>
          <w:sz w:val="24"/>
          <w:szCs w:val="24"/>
        </w:rPr>
        <w:t xml:space="preserve"> well as Saman and </w:t>
      </w:r>
      <w:r>
        <w:rPr>
          <w:rFonts w:ascii="Times New Arabic" w:hAnsi="Times New Arabic"/>
          <w:bCs/>
          <w:sz w:val="24"/>
          <w:szCs w:val="24"/>
        </w:rPr>
        <w:lastRenderedPageBreak/>
        <w:t>Sahputra</w:t>
      </w:r>
      <w:r>
        <w:rPr>
          <w:rStyle w:val="FootnoteReference"/>
          <w:rFonts w:ascii="Times New Arabic" w:hAnsi="Times New Arabic"/>
          <w:bCs/>
          <w:sz w:val="24"/>
          <w:szCs w:val="24"/>
        </w:rPr>
        <w:footnoteReference w:id="12"/>
      </w:r>
      <w:r w:rsidRPr="00A901A7">
        <w:rPr>
          <w:rFonts w:ascii="Times New Arabic" w:hAnsi="Times New Arabic"/>
          <w:bCs/>
          <w:sz w:val="24"/>
          <w:szCs w:val="24"/>
        </w:rPr>
        <w:t xml:space="preserve">; however, their discussions remain focused on broader societal moral issues and the youth in general. Nevertheless, these studies largely still highlight the impacts of </w:t>
      </w:r>
      <w:r w:rsidR="0024003A" w:rsidRPr="0024003A">
        <w:rPr>
          <w:rFonts w:ascii="Times New Arabic" w:hAnsi="Times New Arabic"/>
          <w:bCs/>
          <w:sz w:val="24"/>
          <w:szCs w:val="24"/>
        </w:rPr>
        <w:t>online</w:t>
      </w:r>
      <w:r w:rsidRPr="00A901A7">
        <w:rPr>
          <w:rFonts w:ascii="Times New Arabic" w:hAnsi="Times New Arabic"/>
          <w:bCs/>
          <w:sz w:val="24"/>
          <w:szCs w:val="24"/>
        </w:rPr>
        <w:t xml:space="preserve"> gambling in a broad sense or are limited to legal and social moral aspects. To date, there has been no study that specifically links the interpretation of the </w:t>
      </w:r>
      <w:r w:rsidR="006313C3" w:rsidRPr="006313C3">
        <w:rPr>
          <w:rFonts w:ascii="Times New Arabic" w:hAnsi="Times New Arabic"/>
          <w:bCs/>
          <w:i/>
          <w:sz w:val="24"/>
          <w:szCs w:val="24"/>
        </w:rPr>
        <w:t>maysir</w:t>
      </w:r>
      <w:r w:rsidRPr="00A901A7">
        <w:rPr>
          <w:rFonts w:ascii="Times New Arabic" w:hAnsi="Times New Arabic"/>
          <w:bCs/>
          <w:sz w:val="24"/>
          <w:szCs w:val="24"/>
        </w:rPr>
        <w:t xml:space="preserve"> verses with the concept of family resilience amid digital disruption. Therefore, this study aims to fill that gap by focusing on a thematic interpretation of the </w:t>
      </w:r>
      <w:r w:rsidR="006313C3" w:rsidRPr="006313C3">
        <w:rPr>
          <w:rFonts w:ascii="Times New Arabic" w:hAnsi="Times New Arabic"/>
          <w:bCs/>
          <w:i/>
          <w:sz w:val="24"/>
          <w:szCs w:val="24"/>
        </w:rPr>
        <w:t>maysir</w:t>
      </w:r>
      <w:r w:rsidRPr="00A901A7">
        <w:rPr>
          <w:rFonts w:ascii="Times New Arabic" w:hAnsi="Times New Arabic"/>
          <w:bCs/>
          <w:sz w:val="24"/>
          <w:szCs w:val="24"/>
        </w:rPr>
        <w:t xml:space="preserve"> verses as a guide for life in strengthening family resilience against the adverse effects of </w:t>
      </w:r>
      <w:r w:rsidR="0024003A" w:rsidRPr="0024003A">
        <w:rPr>
          <w:rFonts w:ascii="Times New Arabic" w:hAnsi="Times New Arabic"/>
          <w:bCs/>
          <w:sz w:val="24"/>
          <w:szCs w:val="24"/>
        </w:rPr>
        <w:t>online</w:t>
      </w:r>
      <w:r w:rsidRPr="00A901A7">
        <w:rPr>
          <w:rFonts w:ascii="Times New Arabic" w:hAnsi="Times New Arabic"/>
          <w:bCs/>
          <w:sz w:val="24"/>
          <w:szCs w:val="24"/>
        </w:rPr>
        <w:t xml:space="preserve"> gambling.</w:t>
      </w:r>
    </w:p>
    <w:p w14:paraId="617515ED" w14:textId="3BC957E2" w:rsidR="00944F9E" w:rsidRDefault="00A901A7" w:rsidP="00666B45">
      <w:pPr>
        <w:spacing w:after="0" w:line="360" w:lineRule="auto"/>
        <w:ind w:firstLine="567"/>
        <w:jc w:val="both"/>
        <w:rPr>
          <w:rFonts w:ascii="Times New Arabic" w:hAnsi="Times New Arabic"/>
          <w:bCs/>
          <w:sz w:val="24"/>
          <w:szCs w:val="24"/>
        </w:rPr>
      </w:pPr>
      <w:r w:rsidRPr="00A901A7">
        <w:rPr>
          <w:rFonts w:ascii="Times New Arabic" w:hAnsi="Times New Arabic"/>
          <w:bCs/>
          <w:sz w:val="24"/>
          <w:szCs w:val="24"/>
        </w:rPr>
        <w:t xml:space="preserve">Based on this background, this study aims to analyze the Qur’an’s perspective on </w:t>
      </w:r>
      <w:r w:rsidR="0024003A" w:rsidRPr="0024003A">
        <w:rPr>
          <w:rFonts w:ascii="Times New Arabic" w:hAnsi="Times New Arabic"/>
          <w:bCs/>
          <w:sz w:val="24"/>
          <w:szCs w:val="24"/>
        </w:rPr>
        <w:t>online</w:t>
      </w:r>
      <w:r w:rsidRPr="00A901A7">
        <w:rPr>
          <w:rFonts w:ascii="Times New Arabic" w:hAnsi="Times New Arabic"/>
          <w:bCs/>
          <w:sz w:val="24"/>
          <w:szCs w:val="24"/>
        </w:rPr>
        <w:t xml:space="preserve"> gambling through a thematic (</w:t>
      </w:r>
      <w:r w:rsidRPr="003C4452">
        <w:rPr>
          <w:rFonts w:ascii="Times New Arabic" w:hAnsi="Times New Arabic"/>
          <w:bCs/>
          <w:i/>
          <w:iCs/>
          <w:sz w:val="24"/>
          <w:szCs w:val="24"/>
        </w:rPr>
        <w:t>maudhu’i</w:t>
      </w:r>
      <w:r w:rsidRPr="00A901A7">
        <w:rPr>
          <w:rFonts w:ascii="Times New Arabic" w:hAnsi="Times New Arabic"/>
          <w:bCs/>
          <w:sz w:val="24"/>
          <w:szCs w:val="24"/>
        </w:rPr>
        <w:t xml:space="preserve">) exegesis of the verses on gambling and its relevance to family resilience in the digital age. This study is expected to contribute to the development of Qur’anic exegesis on contemporary social issues, particularly those related to the phenomenon of </w:t>
      </w:r>
      <w:r w:rsidR="0024003A" w:rsidRPr="0024003A">
        <w:rPr>
          <w:rFonts w:ascii="Times New Arabic" w:hAnsi="Times New Arabic"/>
          <w:bCs/>
          <w:sz w:val="24"/>
          <w:szCs w:val="24"/>
        </w:rPr>
        <w:t>online</w:t>
      </w:r>
      <w:r w:rsidRPr="00A901A7">
        <w:rPr>
          <w:rFonts w:ascii="Times New Arabic" w:hAnsi="Times New Arabic"/>
          <w:bCs/>
          <w:sz w:val="24"/>
          <w:szCs w:val="24"/>
        </w:rPr>
        <w:t xml:space="preserve"> gambling and family resilience in modern society.</w:t>
      </w:r>
    </w:p>
    <w:p w14:paraId="257A68BC" w14:textId="77777777" w:rsidR="009012F2" w:rsidRDefault="009012F2" w:rsidP="009012F2">
      <w:pPr>
        <w:spacing w:after="0" w:line="360" w:lineRule="auto"/>
        <w:jc w:val="both"/>
        <w:rPr>
          <w:rFonts w:ascii="Times New Arabic" w:hAnsi="Times New Arabic"/>
          <w:bCs/>
          <w:sz w:val="24"/>
          <w:szCs w:val="24"/>
        </w:rPr>
      </w:pPr>
    </w:p>
    <w:p w14:paraId="252985E3" w14:textId="77777777" w:rsidR="00A901A7" w:rsidRPr="00A901A7" w:rsidRDefault="00A901A7" w:rsidP="009012F2">
      <w:pPr>
        <w:spacing w:after="0" w:line="360" w:lineRule="auto"/>
        <w:jc w:val="both"/>
        <w:rPr>
          <w:rFonts w:ascii="Times New Arabic" w:hAnsi="Times New Arabic"/>
          <w:b/>
          <w:bCs/>
          <w:sz w:val="24"/>
          <w:szCs w:val="24"/>
        </w:rPr>
      </w:pPr>
      <w:r w:rsidRPr="00A901A7">
        <w:rPr>
          <w:rFonts w:ascii="Times New Arabic" w:hAnsi="Times New Arabic"/>
          <w:b/>
          <w:bCs/>
          <w:sz w:val="24"/>
          <w:szCs w:val="24"/>
        </w:rPr>
        <w:t>RESEARCH METHODOLOGY</w:t>
      </w:r>
    </w:p>
    <w:p w14:paraId="0B0245F5" w14:textId="746C5640" w:rsidR="00A901A7" w:rsidRDefault="00A901A7" w:rsidP="000A354F">
      <w:pPr>
        <w:spacing w:after="0" w:line="360" w:lineRule="auto"/>
        <w:ind w:firstLine="567"/>
        <w:jc w:val="both"/>
        <w:rPr>
          <w:rFonts w:ascii="Times New Arabic" w:hAnsi="Times New Arabic"/>
          <w:bCs/>
          <w:sz w:val="24"/>
          <w:szCs w:val="24"/>
        </w:rPr>
      </w:pPr>
      <w:r w:rsidRPr="00A901A7">
        <w:rPr>
          <w:rFonts w:ascii="Times New Arabic" w:hAnsi="Times New Arabic"/>
          <w:bCs/>
          <w:sz w:val="24"/>
          <w:szCs w:val="24"/>
        </w:rPr>
        <w:t>This study is a literature review analyzed using a descriptive qualitative approach. The primary analytical method applied is thematic exegesis (</w:t>
      </w:r>
      <w:r w:rsidRPr="0024003A">
        <w:rPr>
          <w:rFonts w:ascii="Times New Arabic" w:hAnsi="Times New Arabic"/>
          <w:bCs/>
          <w:i/>
          <w:sz w:val="24"/>
          <w:szCs w:val="24"/>
        </w:rPr>
        <w:t>maudhu’i</w:t>
      </w:r>
      <w:r w:rsidRPr="00A901A7">
        <w:rPr>
          <w:rFonts w:ascii="Times New Arabic" w:hAnsi="Times New Arabic"/>
          <w:bCs/>
          <w:sz w:val="24"/>
          <w:szCs w:val="24"/>
        </w:rPr>
        <w:t>), which involves compiling Qur</w:t>
      </w:r>
      <w:r w:rsidR="00131030">
        <w:rPr>
          <w:rFonts w:ascii="Times New Arabic" w:hAnsi="Times New Arabic"/>
          <w:bCs/>
          <w:sz w:val="24"/>
          <w:szCs w:val="24"/>
        </w:rPr>
        <w:t>’</w:t>
      </w:r>
      <w:r w:rsidRPr="00A901A7">
        <w:rPr>
          <w:rFonts w:ascii="Times New Arabic" w:hAnsi="Times New Arabic"/>
          <w:bCs/>
          <w:sz w:val="24"/>
          <w:szCs w:val="24"/>
        </w:rPr>
        <w:t>anic verses from various surahs sharing a common theme for in-depth analysis to arrive at</w:t>
      </w:r>
      <w:r>
        <w:rPr>
          <w:rFonts w:ascii="Times New Arabic" w:hAnsi="Times New Arabic"/>
          <w:bCs/>
          <w:sz w:val="24"/>
          <w:szCs w:val="24"/>
        </w:rPr>
        <w:t xml:space="preserve"> a comprehensive conclusion.</w:t>
      </w:r>
      <w:r>
        <w:rPr>
          <w:rStyle w:val="FootnoteReference"/>
          <w:rFonts w:ascii="Times New Arabic" w:hAnsi="Times New Arabic"/>
          <w:bCs/>
          <w:sz w:val="24"/>
          <w:szCs w:val="24"/>
        </w:rPr>
        <w:footnoteReference w:id="13"/>
      </w:r>
      <w:r w:rsidRPr="00A901A7">
        <w:rPr>
          <w:rFonts w:ascii="Times New Arabic" w:hAnsi="Times New Arabic"/>
          <w:bCs/>
          <w:sz w:val="24"/>
          <w:szCs w:val="24"/>
        </w:rPr>
        <w:t xml:space="preserve"> The primary data sources in this study are drawn directly from </w:t>
      </w:r>
      <w:r w:rsidRPr="00A901A7">
        <w:rPr>
          <w:rFonts w:ascii="Times New Arabic" w:hAnsi="Times New Arabic"/>
          <w:bCs/>
          <w:sz w:val="24"/>
          <w:szCs w:val="24"/>
        </w:rPr>
        <w:lastRenderedPageBreak/>
        <w:t xml:space="preserve">the Qur’an, specifically verses on the theme of </w:t>
      </w:r>
      <w:r w:rsidR="006313C3" w:rsidRPr="006313C3">
        <w:rPr>
          <w:rFonts w:ascii="Times New Arabic" w:hAnsi="Times New Arabic"/>
          <w:bCs/>
          <w:i/>
          <w:sz w:val="24"/>
          <w:szCs w:val="24"/>
        </w:rPr>
        <w:t>maysir</w:t>
      </w:r>
      <w:r w:rsidRPr="00A901A7">
        <w:rPr>
          <w:rFonts w:ascii="Times New Arabic" w:hAnsi="Times New Arabic"/>
          <w:bCs/>
          <w:sz w:val="24"/>
          <w:szCs w:val="24"/>
        </w:rPr>
        <w:t>, supported by authoritative commentaries such as the Ministry of Religious Affairs of the Republic of Indonesia’s Tafsir, Ibn Kathir’s Tafsir, Tafsir Fi Zhilalil Qur’an, Tafsir Al-Munir, and Tafsir Al-Misbah.</w:t>
      </w:r>
    </w:p>
    <w:p w14:paraId="72D74DA5" w14:textId="7061BA90" w:rsidR="00A901A7" w:rsidRDefault="00A901A7" w:rsidP="000A354F">
      <w:pPr>
        <w:spacing w:after="0" w:line="360" w:lineRule="auto"/>
        <w:ind w:firstLine="567"/>
        <w:jc w:val="both"/>
        <w:rPr>
          <w:rFonts w:ascii="Times New Arabic" w:hAnsi="Times New Arabic"/>
          <w:bCs/>
          <w:sz w:val="24"/>
          <w:szCs w:val="24"/>
        </w:rPr>
      </w:pPr>
      <w:r w:rsidRPr="00A901A7">
        <w:rPr>
          <w:rFonts w:ascii="Times New Arabic" w:hAnsi="Times New Arabic"/>
          <w:bCs/>
          <w:sz w:val="24"/>
          <w:szCs w:val="24"/>
        </w:rPr>
        <w:t xml:space="preserve">Meanwhile, secondary data was obtained by reviewing various articles from reputable journals, relevant regulations or laws, as well as official reports from state institutions such as the Financial Transaction Reports and Analysis Center (PPATK), which contain data, facts, and the latest developments regarding </w:t>
      </w:r>
      <w:r w:rsidR="0024003A" w:rsidRPr="0024003A">
        <w:rPr>
          <w:rFonts w:ascii="Times New Arabic" w:hAnsi="Times New Arabic"/>
          <w:bCs/>
          <w:sz w:val="24"/>
          <w:szCs w:val="24"/>
        </w:rPr>
        <w:t>online</w:t>
      </w:r>
      <w:r w:rsidRPr="00A901A7">
        <w:rPr>
          <w:rFonts w:ascii="Times New Arabic" w:hAnsi="Times New Arabic"/>
          <w:bCs/>
          <w:sz w:val="24"/>
          <w:szCs w:val="24"/>
        </w:rPr>
        <w:t xml:space="preserve"> gambling cases in Indonesia. Technical data analysis was conducted by compiling relevant passages, dissecting their textual and contextual meanings, and critically contextualizing them within the phenomenon of </w:t>
      </w:r>
      <w:r w:rsidR="0024003A" w:rsidRPr="0024003A">
        <w:rPr>
          <w:rFonts w:ascii="Times New Arabic" w:hAnsi="Times New Arabic"/>
          <w:bCs/>
          <w:sz w:val="24"/>
          <w:szCs w:val="24"/>
        </w:rPr>
        <w:t>online</w:t>
      </w:r>
      <w:r w:rsidRPr="00A901A7">
        <w:rPr>
          <w:rFonts w:ascii="Times New Arabic" w:hAnsi="Times New Arabic"/>
          <w:bCs/>
          <w:sz w:val="24"/>
          <w:szCs w:val="24"/>
        </w:rPr>
        <w:t xml:space="preserve"> gambling to formulate the relevance and pillars of alternative solutions for strengthening the functional resilience of families.</w:t>
      </w:r>
    </w:p>
    <w:p w14:paraId="6410AE37" w14:textId="77777777" w:rsidR="009012F2" w:rsidRDefault="009012F2" w:rsidP="009012F2">
      <w:pPr>
        <w:spacing w:after="0" w:line="360" w:lineRule="auto"/>
        <w:jc w:val="both"/>
        <w:rPr>
          <w:rFonts w:ascii="Times New Arabic" w:hAnsi="Times New Arabic"/>
          <w:bCs/>
          <w:sz w:val="24"/>
          <w:szCs w:val="24"/>
        </w:rPr>
      </w:pPr>
    </w:p>
    <w:p w14:paraId="20CF77F6" w14:textId="77777777" w:rsidR="00A901A7" w:rsidRPr="00A901A7" w:rsidRDefault="00A901A7" w:rsidP="000A354F">
      <w:pPr>
        <w:keepNext/>
        <w:spacing w:after="0" w:line="360" w:lineRule="auto"/>
        <w:jc w:val="both"/>
        <w:rPr>
          <w:rFonts w:ascii="Times New Arabic" w:hAnsi="Times New Arabic"/>
          <w:b/>
          <w:bCs/>
          <w:sz w:val="24"/>
          <w:szCs w:val="24"/>
        </w:rPr>
      </w:pPr>
      <w:r w:rsidRPr="00A901A7">
        <w:rPr>
          <w:rFonts w:ascii="Times New Arabic" w:hAnsi="Times New Arabic"/>
          <w:b/>
          <w:bCs/>
          <w:sz w:val="24"/>
          <w:szCs w:val="24"/>
        </w:rPr>
        <w:t>RESULTS and DISCUSSION</w:t>
      </w:r>
    </w:p>
    <w:p w14:paraId="5239D210" w14:textId="3F8D8088" w:rsidR="00A901A7" w:rsidRPr="00A901A7" w:rsidRDefault="00A901A7" w:rsidP="000A354F">
      <w:pPr>
        <w:pStyle w:val="ListParagraph"/>
        <w:keepNext/>
        <w:numPr>
          <w:ilvl w:val="0"/>
          <w:numId w:val="28"/>
        </w:numPr>
        <w:spacing w:after="0" w:line="360" w:lineRule="auto"/>
        <w:jc w:val="both"/>
        <w:rPr>
          <w:rFonts w:ascii="Times New Arabic" w:hAnsi="Times New Arabic"/>
          <w:b/>
          <w:bCs/>
          <w:sz w:val="24"/>
          <w:szCs w:val="24"/>
        </w:rPr>
      </w:pPr>
      <w:r w:rsidRPr="00A901A7">
        <w:rPr>
          <w:rFonts w:ascii="Times New Arabic" w:hAnsi="Times New Arabic"/>
          <w:b/>
          <w:bCs/>
          <w:sz w:val="24"/>
          <w:szCs w:val="24"/>
        </w:rPr>
        <w:t xml:space="preserve">The Phenomenon of </w:t>
      </w:r>
      <w:r w:rsidR="0024003A" w:rsidRPr="0024003A">
        <w:rPr>
          <w:rFonts w:ascii="Times New Arabic" w:hAnsi="Times New Arabic"/>
          <w:b/>
          <w:bCs/>
          <w:sz w:val="24"/>
          <w:szCs w:val="24"/>
        </w:rPr>
        <w:t>Online</w:t>
      </w:r>
      <w:r w:rsidRPr="00A901A7">
        <w:rPr>
          <w:rFonts w:ascii="Times New Arabic" w:hAnsi="Times New Arabic"/>
          <w:b/>
          <w:bCs/>
          <w:sz w:val="24"/>
          <w:szCs w:val="24"/>
        </w:rPr>
        <w:t xml:space="preserve"> Gambling as a Challenge to Family Resilience</w:t>
      </w:r>
    </w:p>
    <w:p w14:paraId="0F3C8469" w14:textId="40CDD8F5" w:rsidR="00A901A7" w:rsidRPr="00A901A7" w:rsidRDefault="00A901A7" w:rsidP="000A354F">
      <w:pPr>
        <w:keepNext/>
        <w:spacing w:after="0" w:line="360" w:lineRule="auto"/>
        <w:ind w:firstLine="567"/>
        <w:jc w:val="both"/>
        <w:rPr>
          <w:rFonts w:ascii="Times New Arabic" w:hAnsi="Times New Arabic"/>
          <w:bCs/>
          <w:sz w:val="24"/>
          <w:szCs w:val="24"/>
        </w:rPr>
      </w:pPr>
      <w:r w:rsidRPr="00A901A7">
        <w:rPr>
          <w:rFonts w:ascii="Times New Arabic" w:hAnsi="Times New Arabic"/>
          <w:bCs/>
          <w:sz w:val="24"/>
          <w:szCs w:val="24"/>
        </w:rPr>
        <w:t>According to the Indonesian Language Dictionary (KBBI), gambling is a game that uses money or valuable items as stakes</w:t>
      </w:r>
      <w:r w:rsidR="000D42D7">
        <w:rPr>
          <w:rFonts w:ascii="Times New Arabic" w:hAnsi="Times New Arabic"/>
          <w:bCs/>
          <w:sz w:val="24"/>
          <w:szCs w:val="24"/>
        </w:rPr>
        <w:t xml:space="preserve"> (such as dice or card games).</w:t>
      </w:r>
      <w:r w:rsidR="000D42D7">
        <w:rPr>
          <w:rStyle w:val="FootnoteReference"/>
          <w:rFonts w:ascii="Times New Arabic" w:hAnsi="Times New Arabic"/>
          <w:bCs/>
          <w:sz w:val="24"/>
          <w:szCs w:val="24"/>
        </w:rPr>
        <w:footnoteReference w:id="14"/>
      </w:r>
      <w:r w:rsidRPr="00A901A7">
        <w:rPr>
          <w:rFonts w:ascii="Times New Arabic" w:hAnsi="Times New Arabic"/>
          <w:bCs/>
          <w:sz w:val="24"/>
          <w:szCs w:val="24"/>
        </w:rPr>
        <w:t xml:space="preserve"> In Arabic, this practice is referred to as </w:t>
      </w:r>
      <w:r w:rsidR="006313C3" w:rsidRPr="006313C3">
        <w:rPr>
          <w:rFonts w:ascii="Times New Arabic" w:hAnsi="Times New Arabic"/>
          <w:bCs/>
          <w:i/>
          <w:sz w:val="24"/>
          <w:szCs w:val="24"/>
        </w:rPr>
        <w:t>maysir</w:t>
      </w:r>
      <w:r w:rsidRPr="00A901A7">
        <w:rPr>
          <w:rFonts w:ascii="Times New Arabic" w:hAnsi="Times New Arabic"/>
          <w:bCs/>
          <w:sz w:val="24"/>
          <w:szCs w:val="24"/>
        </w:rPr>
        <w:t xml:space="preserve">. According to the Al-Munawwir dictionary, this word is synonymous with </w:t>
      </w:r>
      <w:r w:rsidRPr="00C3398F">
        <w:rPr>
          <w:rFonts w:ascii="Times New Arabic" w:hAnsi="Times New Arabic"/>
          <w:bCs/>
          <w:i/>
          <w:iCs/>
          <w:sz w:val="24"/>
          <w:szCs w:val="24"/>
        </w:rPr>
        <w:t>al-</w:t>
      </w:r>
      <w:r w:rsidR="000D42D7" w:rsidRPr="00C3398F">
        <w:rPr>
          <w:rFonts w:ascii="Times New Arabic" w:hAnsi="Times New Arabic"/>
          <w:bCs/>
          <w:i/>
          <w:iCs/>
          <w:sz w:val="24"/>
          <w:szCs w:val="24"/>
        </w:rPr>
        <w:t>qimar</w:t>
      </w:r>
      <w:r w:rsidR="000D42D7">
        <w:rPr>
          <w:rFonts w:ascii="Times New Arabic" w:hAnsi="Times New Arabic"/>
          <w:bCs/>
          <w:sz w:val="24"/>
          <w:szCs w:val="24"/>
        </w:rPr>
        <w:t>, which means gambling.</w:t>
      </w:r>
      <w:r w:rsidR="000D42D7">
        <w:rPr>
          <w:rStyle w:val="FootnoteReference"/>
          <w:rFonts w:ascii="Times New Arabic" w:hAnsi="Times New Arabic"/>
          <w:bCs/>
          <w:sz w:val="24"/>
          <w:szCs w:val="24"/>
        </w:rPr>
        <w:footnoteReference w:id="15"/>
      </w:r>
      <w:r w:rsidR="000D42D7">
        <w:rPr>
          <w:rFonts w:ascii="Times New Arabic" w:hAnsi="Times New Arabic"/>
          <w:bCs/>
          <w:sz w:val="24"/>
          <w:szCs w:val="24"/>
        </w:rPr>
        <w:t xml:space="preserve"> </w:t>
      </w:r>
      <w:r w:rsidRPr="00A901A7">
        <w:rPr>
          <w:rFonts w:ascii="Times New Arabic" w:hAnsi="Times New Arabic"/>
          <w:bCs/>
          <w:sz w:val="24"/>
          <w:szCs w:val="24"/>
        </w:rPr>
        <w:t xml:space="preserve">Etymologically, it derives from the root word </w:t>
      </w:r>
      <w:r w:rsidRPr="00C3398F">
        <w:rPr>
          <w:rFonts w:ascii="Times New Arabic" w:hAnsi="Times New Arabic"/>
          <w:bCs/>
          <w:i/>
          <w:iCs/>
          <w:sz w:val="24"/>
          <w:szCs w:val="24"/>
        </w:rPr>
        <w:t>y</w:t>
      </w:r>
      <w:r w:rsidR="000D42D7" w:rsidRPr="00C3398F">
        <w:rPr>
          <w:rFonts w:ascii="Times New Arabic" w:hAnsi="Times New Arabic"/>
          <w:bCs/>
          <w:i/>
          <w:iCs/>
          <w:sz w:val="24"/>
          <w:szCs w:val="24"/>
        </w:rPr>
        <w:t>usr</w:t>
      </w:r>
      <w:r w:rsidR="000D42D7">
        <w:rPr>
          <w:rFonts w:ascii="Times New Arabic" w:hAnsi="Times New Arabic"/>
          <w:bCs/>
          <w:sz w:val="24"/>
          <w:szCs w:val="24"/>
        </w:rPr>
        <w:t>, which means easy or rich.</w:t>
      </w:r>
      <w:r w:rsidR="000D42D7">
        <w:rPr>
          <w:rStyle w:val="FootnoteReference"/>
          <w:rFonts w:ascii="Times New Arabic" w:hAnsi="Times New Arabic"/>
          <w:bCs/>
          <w:sz w:val="24"/>
          <w:szCs w:val="24"/>
        </w:rPr>
        <w:footnoteReference w:id="16"/>
      </w:r>
      <w:r w:rsidRPr="00A901A7">
        <w:rPr>
          <w:rFonts w:ascii="Times New Arabic" w:hAnsi="Times New Arabic"/>
          <w:bCs/>
          <w:sz w:val="24"/>
          <w:szCs w:val="24"/>
        </w:rPr>
        <w:t xml:space="preserve"> Literally, </w:t>
      </w:r>
      <w:r w:rsidR="006313C3" w:rsidRPr="006313C3">
        <w:rPr>
          <w:rFonts w:ascii="Times New Arabic" w:hAnsi="Times New Arabic"/>
          <w:bCs/>
          <w:i/>
          <w:sz w:val="24"/>
          <w:szCs w:val="24"/>
        </w:rPr>
        <w:t>maysir</w:t>
      </w:r>
      <w:r w:rsidRPr="00A901A7">
        <w:rPr>
          <w:rFonts w:ascii="Times New Arabic" w:hAnsi="Times New Arabic"/>
          <w:bCs/>
          <w:sz w:val="24"/>
          <w:szCs w:val="24"/>
        </w:rPr>
        <w:t xml:space="preserve"> means obtaining profit through an easy </w:t>
      </w:r>
      <w:r w:rsidRPr="00A901A7">
        <w:rPr>
          <w:rFonts w:ascii="Times New Arabic" w:hAnsi="Times New Arabic"/>
          <w:bCs/>
          <w:sz w:val="24"/>
          <w:szCs w:val="24"/>
        </w:rPr>
        <w:lastRenderedPageBreak/>
        <w:t>means without hard work. This term refers to all forms of gambling, games involving risk</w:t>
      </w:r>
      <w:r w:rsidR="000D42D7">
        <w:rPr>
          <w:rFonts w:ascii="Times New Arabic" w:hAnsi="Times New Arabic"/>
          <w:bCs/>
          <w:sz w:val="24"/>
          <w:szCs w:val="24"/>
        </w:rPr>
        <w:t>, and betting activities.</w:t>
      </w:r>
      <w:r w:rsidR="000D42D7">
        <w:rPr>
          <w:rStyle w:val="FootnoteReference"/>
          <w:rFonts w:ascii="Times New Arabic" w:hAnsi="Times New Arabic"/>
          <w:bCs/>
          <w:sz w:val="24"/>
          <w:szCs w:val="24"/>
        </w:rPr>
        <w:footnoteReference w:id="17"/>
      </w:r>
      <w:r w:rsidRPr="00A901A7">
        <w:rPr>
          <w:rFonts w:ascii="Times New Arabic" w:hAnsi="Times New Arabic"/>
          <w:bCs/>
          <w:sz w:val="24"/>
          <w:szCs w:val="24"/>
        </w:rPr>
        <w:t xml:space="preserve"> The rules prohibiting betting and seeking one-sided profit are in fact consistent with the laws in force in Indonesia.</w:t>
      </w:r>
    </w:p>
    <w:p w14:paraId="226BDC28" w14:textId="70FA4FDC" w:rsidR="000D42D7" w:rsidRPr="000D42D7" w:rsidRDefault="00A901A7" w:rsidP="000A354F">
      <w:pPr>
        <w:spacing w:after="0" w:line="360" w:lineRule="auto"/>
        <w:ind w:firstLine="567"/>
        <w:jc w:val="both"/>
        <w:rPr>
          <w:rFonts w:ascii="Times New Arabic" w:hAnsi="Times New Arabic"/>
          <w:bCs/>
          <w:sz w:val="24"/>
          <w:szCs w:val="24"/>
        </w:rPr>
      </w:pPr>
      <w:r w:rsidRPr="00A901A7">
        <w:rPr>
          <w:rFonts w:ascii="Times New Arabic" w:hAnsi="Times New Arabic"/>
          <w:bCs/>
          <w:sz w:val="24"/>
          <w:szCs w:val="24"/>
        </w:rPr>
        <w:t>Under Law No. 1 of 1946 on the Criminal Code (KUHP) and Article 303(3) of the KUHP, "gambling" refers to any wager regarding the outcome of a race or other game conducted among those participating in the race or game, as well as any other</w:t>
      </w:r>
      <w:r w:rsidR="000D42D7">
        <w:rPr>
          <w:rFonts w:ascii="Times New Arabic" w:hAnsi="Times New Arabic"/>
          <w:bCs/>
          <w:sz w:val="24"/>
          <w:szCs w:val="24"/>
        </w:rPr>
        <w:t xml:space="preserve"> form of wagering.</w:t>
      </w:r>
      <w:r w:rsidR="000D42D7">
        <w:rPr>
          <w:rStyle w:val="FootnoteReference"/>
          <w:rFonts w:ascii="Times New Arabic" w:hAnsi="Times New Arabic"/>
          <w:bCs/>
          <w:sz w:val="24"/>
          <w:szCs w:val="24"/>
        </w:rPr>
        <w:footnoteReference w:id="18"/>
      </w:r>
      <w:r w:rsidR="000D42D7" w:rsidRPr="000D42D7">
        <w:rPr>
          <w:rFonts w:ascii="Times New Arabic" w:hAnsi="Times New Arabic"/>
          <w:bCs/>
          <w:sz w:val="24"/>
          <w:szCs w:val="24"/>
        </w:rPr>
        <w:t xml:space="preserve"> Thus, gambling is a gaming activity involving individuals or groups who wager money or valuable items to obtain a profit greater tha</w:t>
      </w:r>
      <w:r w:rsidR="000D42D7">
        <w:rPr>
          <w:rFonts w:ascii="Times New Arabic" w:hAnsi="Times New Arabic"/>
          <w:bCs/>
          <w:sz w:val="24"/>
          <w:szCs w:val="24"/>
        </w:rPr>
        <w:t>n the value of the bet placed.</w:t>
      </w:r>
      <w:r w:rsidR="000D42D7">
        <w:rPr>
          <w:rStyle w:val="FootnoteReference"/>
          <w:rFonts w:ascii="Times New Arabic" w:hAnsi="Times New Arabic"/>
          <w:bCs/>
          <w:sz w:val="24"/>
          <w:szCs w:val="24"/>
        </w:rPr>
        <w:footnoteReference w:id="19"/>
      </w:r>
    </w:p>
    <w:p w14:paraId="1EE9AEF1" w14:textId="111B51E2" w:rsidR="000D42D7" w:rsidRPr="000D42D7" w:rsidRDefault="000D42D7" w:rsidP="00CE61A4">
      <w:pPr>
        <w:spacing w:after="0" w:line="360" w:lineRule="auto"/>
        <w:ind w:firstLine="567"/>
        <w:jc w:val="both"/>
        <w:rPr>
          <w:rFonts w:ascii="Times New Arabic" w:hAnsi="Times New Arabic"/>
          <w:bCs/>
          <w:sz w:val="24"/>
          <w:szCs w:val="24"/>
        </w:rPr>
      </w:pPr>
      <w:r w:rsidRPr="000D42D7">
        <w:rPr>
          <w:rFonts w:ascii="Times New Arabic" w:hAnsi="Times New Arabic"/>
          <w:bCs/>
          <w:sz w:val="24"/>
          <w:szCs w:val="24"/>
        </w:rPr>
        <w:t xml:space="preserve">In today’s modern era, physical venues for placing such bets have begun to shift massively. Rapid technological advancements have driven gambling to transition from conventional forms to the digital realm, known as </w:t>
      </w:r>
      <w:r w:rsidR="0024003A" w:rsidRPr="0024003A">
        <w:rPr>
          <w:rFonts w:ascii="Times New Arabic" w:hAnsi="Times New Arabic"/>
          <w:bCs/>
          <w:sz w:val="24"/>
          <w:szCs w:val="24"/>
        </w:rPr>
        <w:t>online</w:t>
      </w:r>
      <w:r w:rsidRPr="000D42D7">
        <w:rPr>
          <w:rFonts w:ascii="Times New Arabic" w:hAnsi="Times New Arabic"/>
          <w:bCs/>
          <w:sz w:val="24"/>
          <w:szCs w:val="24"/>
        </w:rPr>
        <w:t xml:space="preserve"> gambling. </w:t>
      </w:r>
      <w:r w:rsidR="0024003A" w:rsidRPr="0024003A">
        <w:rPr>
          <w:rFonts w:ascii="Times New Arabic" w:hAnsi="Times New Arabic"/>
          <w:bCs/>
          <w:sz w:val="24"/>
          <w:szCs w:val="24"/>
        </w:rPr>
        <w:t>Online</w:t>
      </w:r>
      <w:r w:rsidRPr="000D42D7">
        <w:rPr>
          <w:rFonts w:ascii="Times New Arabic" w:hAnsi="Times New Arabic"/>
          <w:bCs/>
          <w:sz w:val="24"/>
          <w:szCs w:val="24"/>
        </w:rPr>
        <w:t xml:space="preserve"> gambling is a form of gambling conducted via the internet, involving wagers of money or valuable items. In practice, players can access various types of games, such as poker, </w:t>
      </w:r>
      <w:r w:rsidR="0024003A" w:rsidRPr="0024003A">
        <w:rPr>
          <w:rFonts w:ascii="Times New Arabic" w:hAnsi="Times New Arabic"/>
          <w:bCs/>
          <w:sz w:val="24"/>
          <w:szCs w:val="24"/>
        </w:rPr>
        <w:t>online</w:t>
      </w:r>
      <w:r>
        <w:rPr>
          <w:rFonts w:ascii="Times New Arabic" w:hAnsi="Times New Arabic"/>
          <w:bCs/>
          <w:sz w:val="24"/>
          <w:szCs w:val="24"/>
        </w:rPr>
        <w:t xml:space="preserve"> casinos, and sports betting.</w:t>
      </w:r>
      <w:r>
        <w:rPr>
          <w:rStyle w:val="FootnoteReference"/>
          <w:rFonts w:ascii="Times New Arabic" w:hAnsi="Times New Arabic"/>
          <w:bCs/>
          <w:sz w:val="24"/>
          <w:szCs w:val="24"/>
        </w:rPr>
        <w:footnoteReference w:id="20"/>
      </w:r>
      <w:r w:rsidRPr="000D42D7">
        <w:rPr>
          <w:rFonts w:ascii="Times New Arabic" w:hAnsi="Times New Arabic"/>
          <w:bCs/>
          <w:sz w:val="24"/>
          <w:szCs w:val="24"/>
        </w:rPr>
        <w:t xml:space="preserve"> </w:t>
      </w:r>
      <w:r w:rsidRPr="000D42D7">
        <w:rPr>
          <w:rFonts w:ascii="Times New Arabic" w:hAnsi="Times New Arabic"/>
          <w:bCs/>
          <w:sz w:val="24"/>
          <w:szCs w:val="24"/>
        </w:rPr>
        <w:lastRenderedPageBreak/>
        <w:t>This phenomenon introduces new dynamics to the world of gambling, in terms of format, ease of access, reach, and the magnitude of its impact.</w:t>
      </w:r>
    </w:p>
    <w:p w14:paraId="58D64CD5" w14:textId="225D8F3A" w:rsidR="00A901A7" w:rsidRDefault="000D42D7" w:rsidP="00F62EAD">
      <w:pPr>
        <w:spacing w:after="0" w:line="360" w:lineRule="auto"/>
        <w:ind w:firstLine="567"/>
        <w:jc w:val="both"/>
        <w:rPr>
          <w:rFonts w:ascii="Times New Arabic" w:hAnsi="Times New Arabic"/>
          <w:bCs/>
          <w:sz w:val="24"/>
          <w:szCs w:val="24"/>
        </w:rPr>
      </w:pPr>
      <w:r w:rsidRPr="000D42D7">
        <w:rPr>
          <w:rFonts w:ascii="Times New Arabic" w:hAnsi="Times New Arabic"/>
          <w:bCs/>
          <w:sz w:val="24"/>
          <w:szCs w:val="24"/>
        </w:rPr>
        <w:t xml:space="preserve">Both </w:t>
      </w:r>
      <w:r w:rsidR="0024003A" w:rsidRPr="0024003A">
        <w:rPr>
          <w:rFonts w:ascii="Times New Arabic" w:hAnsi="Times New Arabic"/>
          <w:bCs/>
          <w:sz w:val="24"/>
          <w:szCs w:val="24"/>
        </w:rPr>
        <w:t>online</w:t>
      </w:r>
      <w:r w:rsidRPr="000D42D7">
        <w:rPr>
          <w:rFonts w:ascii="Times New Arabic" w:hAnsi="Times New Arabic"/>
          <w:bCs/>
          <w:sz w:val="24"/>
          <w:szCs w:val="24"/>
        </w:rPr>
        <w:t xml:space="preserve"> and conventional gambling essentially aim to wager something in order to gain an instant profit. The only difference lies in the mechanisms and methods of access. Conventional gambling tends to be more traditional because it is conducted in person with cash transactions, while </w:t>
      </w:r>
      <w:r w:rsidR="0024003A" w:rsidRPr="0024003A">
        <w:rPr>
          <w:rFonts w:ascii="Times New Arabic" w:hAnsi="Times New Arabic"/>
          <w:bCs/>
          <w:sz w:val="24"/>
          <w:szCs w:val="24"/>
        </w:rPr>
        <w:t>online</w:t>
      </w:r>
      <w:r w:rsidRPr="000D42D7">
        <w:rPr>
          <w:rFonts w:ascii="Times New Arabic" w:hAnsi="Times New Arabic"/>
          <w:bCs/>
          <w:sz w:val="24"/>
          <w:szCs w:val="24"/>
        </w:rPr>
        <w:t xml:space="preserve"> gambling utilizes electronic devices such as computers and smartphones that can be accessed 24 hours a day, without any limitations of time or place. In terms of payment, conventional gambling tends to be simple, using cash, whereas </w:t>
      </w:r>
      <w:r w:rsidR="0024003A" w:rsidRPr="0024003A">
        <w:rPr>
          <w:rFonts w:ascii="Times New Arabic" w:hAnsi="Times New Arabic"/>
          <w:bCs/>
          <w:sz w:val="24"/>
          <w:szCs w:val="24"/>
        </w:rPr>
        <w:t>online</w:t>
      </w:r>
      <w:r w:rsidRPr="000D42D7">
        <w:rPr>
          <w:rFonts w:ascii="Times New Arabic" w:hAnsi="Times New Arabic"/>
          <w:bCs/>
          <w:sz w:val="24"/>
          <w:szCs w:val="24"/>
        </w:rPr>
        <w:t xml:space="preserve"> gambling offers a wider variety of transaction methods, ranging from bank transfers, mobile banking, and cr</w:t>
      </w:r>
      <w:r>
        <w:rPr>
          <w:rFonts w:ascii="Times New Arabic" w:hAnsi="Times New Arabic"/>
          <w:bCs/>
          <w:sz w:val="24"/>
          <w:szCs w:val="24"/>
        </w:rPr>
        <w:t>edit cards to digital wallets.</w:t>
      </w:r>
      <w:r>
        <w:rPr>
          <w:rStyle w:val="FootnoteReference"/>
          <w:rFonts w:ascii="Times New Arabic" w:hAnsi="Times New Arabic"/>
          <w:bCs/>
          <w:sz w:val="24"/>
          <w:szCs w:val="24"/>
        </w:rPr>
        <w:footnoteReference w:id="21"/>
      </w:r>
      <w:r w:rsidRPr="000D42D7">
        <w:rPr>
          <w:rFonts w:ascii="Times New Arabic" w:hAnsi="Times New Arabic"/>
          <w:bCs/>
          <w:sz w:val="24"/>
          <w:szCs w:val="24"/>
        </w:rPr>
        <w:t xml:space="preserve"> It is this ease of access that has made </w:t>
      </w:r>
      <w:r w:rsidR="0024003A" w:rsidRPr="0024003A">
        <w:rPr>
          <w:rFonts w:ascii="Times New Arabic" w:hAnsi="Times New Arabic"/>
          <w:bCs/>
          <w:sz w:val="24"/>
          <w:szCs w:val="24"/>
        </w:rPr>
        <w:t>online</w:t>
      </w:r>
      <w:r w:rsidRPr="000D42D7">
        <w:rPr>
          <w:rFonts w:ascii="Times New Arabic" w:hAnsi="Times New Arabic"/>
          <w:bCs/>
          <w:sz w:val="24"/>
          <w:szCs w:val="24"/>
        </w:rPr>
        <w:t xml:space="preserve"> gambling increasingly popular and rapidly spreading throughout society.</w:t>
      </w:r>
    </w:p>
    <w:p w14:paraId="36B33CDB" w14:textId="328F21E4" w:rsidR="000D42D7" w:rsidRPr="000D42D7" w:rsidRDefault="000D42D7" w:rsidP="00F62EAD">
      <w:pPr>
        <w:spacing w:after="0" w:line="360" w:lineRule="auto"/>
        <w:ind w:firstLine="567"/>
        <w:jc w:val="both"/>
        <w:rPr>
          <w:rFonts w:ascii="Times New Arabic" w:hAnsi="Times New Arabic"/>
          <w:bCs/>
          <w:sz w:val="24"/>
          <w:szCs w:val="24"/>
        </w:rPr>
      </w:pPr>
      <w:r w:rsidRPr="000D42D7">
        <w:rPr>
          <w:rFonts w:ascii="Times New Arabic" w:hAnsi="Times New Arabic"/>
          <w:bCs/>
          <w:sz w:val="24"/>
          <w:szCs w:val="24"/>
        </w:rPr>
        <w:t xml:space="preserve">The widespread popularity of digital gambling did not happen overnight; rather, it stems from various issues within society. The factors driving the rise of </w:t>
      </w:r>
      <w:r w:rsidR="0024003A" w:rsidRPr="0024003A">
        <w:rPr>
          <w:rFonts w:ascii="Times New Arabic" w:hAnsi="Times New Arabic"/>
          <w:bCs/>
          <w:sz w:val="24"/>
          <w:szCs w:val="24"/>
        </w:rPr>
        <w:t>online</w:t>
      </w:r>
      <w:r w:rsidRPr="000D42D7">
        <w:rPr>
          <w:rFonts w:ascii="Times New Arabic" w:hAnsi="Times New Arabic"/>
          <w:bCs/>
          <w:sz w:val="24"/>
          <w:szCs w:val="24"/>
        </w:rPr>
        <w:t xml:space="preserve"> gambling can be examined from multiple angles, including economic, individual, social, and technological developments. From an economic perspective, the difficulty in finding employment, rising food prices, inflation, and low wages make it hard for people to meet their daily needs. These conditions have led many people to be tempted by </w:t>
      </w:r>
      <w:r w:rsidR="0024003A" w:rsidRPr="0024003A">
        <w:rPr>
          <w:rFonts w:ascii="Times New Arabic" w:hAnsi="Times New Arabic"/>
          <w:bCs/>
          <w:sz w:val="24"/>
          <w:szCs w:val="24"/>
        </w:rPr>
        <w:t>online</w:t>
      </w:r>
      <w:r w:rsidRPr="000D42D7">
        <w:rPr>
          <w:rFonts w:ascii="Times New Arabic" w:hAnsi="Times New Arabic"/>
          <w:bCs/>
          <w:sz w:val="24"/>
          <w:szCs w:val="24"/>
        </w:rPr>
        <w:t xml:space="preserve"> gambling, as they see the potential for large profits even wi</w:t>
      </w:r>
      <w:r>
        <w:rPr>
          <w:rFonts w:ascii="Times New Arabic" w:hAnsi="Times New Arabic"/>
          <w:bCs/>
          <w:sz w:val="24"/>
          <w:szCs w:val="24"/>
        </w:rPr>
        <w:t xml:space="preserve">th a small initial </w:t>
      </w:r>
      <w:r>
        <w:rPr>
          <w:rFonts w:ascii="Times New Arabic" w:hAnsi="Times New Arabic"/>
          <w:bCs/>
          <w:sz w:val="24"/>
          <w:szCs w:val="24"/>
        </w:rPr>
        <w:lastRenderedPageBreak/>
        <w:t>investment.</w:t>
      </w:r>
      <w:r w:rsidR="0061001A">
        <w:rPr>
          <w:rStyle w:val="FootnoteReference"/>
          <w:rFonts w:ascii="Times New Arabic" w:hAnsi="Times New Arabic"/>
          <w:bCs/>
          <w:sz w:val="24"/>
          <w:szCs w:val="24"/>
        </w:rPr>
        <w:footnoteReference w:id="22"/>
      </w:r>
      <w:r w:rsidR="0061001A">
        <w:rPr>
          <w:rFonts w:ascii="Times New Arabic" w:hAnsi="Times New Arabic"/>
          <w:bCs/>
          <w:sz w:val="24"/>
          <w:szCs w:val="24"/>
        </w:rPr>
        <w:t xml:space="preserve"> </w:t>
      </w:r>
      <w:r w:rsidRPr="000D42D7">
        <w:rPr>
          <w:rFonts w:ascii="Times New Arabic" w:hAnsi="Times New Arabic"/>
          <w:bCs/>
          <w:sz w:val="24"/>
          <w:szCs w:val="24"/>
        </w:rPr>
        <w:t>In addition to economic pressures, the influence of the social environment and friends who enjoy gambling also encourages people to try it. This situation is exacerbated by massive promotions on social media and the presence of influencers who aggressively promise huge profits, making the prevalence of gambling in societ</w:t>
      </w:r>
      <w:r>
        <w:rPr>
          <w:rFonts w:ascii="Times New Arabic" w:hAnsi="Times New Arabic"/>
          <w:bCs/>
          <w:sz w:val="24"/>
          <w:szCs w:val="24"/>
        </w:rPr>
        <w:t>y increasingly uncontrollable.</w:t>
      </w:r>
      <w:r w:rsidR="0061001A">
        <w:rPr>
          <w:rStyle w:val="FootnoteReference"/>
          <w:rFonts w:ascii="Times New Arabic" w:hAnsi="Times New Arabic"/>
          <w:bCs/>
          <w:sz w:val="24"/>
          <w:szCs w:val="24"/>
        </w:rPr>
        <w:footnoteReference w:id="23"/>
      </w:r>
    </w:p>
    <w:p w14:paraId="217A3139" w14:textId="399E1681" w:rsidR="0061001A" w:rsidRPr="0061001A" w:rsidRDefault="000D42D7" w:rsidP="00F62EAD">
      <w:pPr>
        <w:spacing w:after="0" w:line="360" w:lineRule="auto"/>
        <w:ind w:firstLine="567"/>
        <w:jc w:val="both"/>
        <w:rPr>
          <w:rFonts w:ascii="Times New Arabic" w:hAnsi="Times New Arabic"/>
          <w:bCs/>
          <w:sz w:val="24"/>
          <w:szCs w:val="24"/>
        </w:rPr>
      </w:pPr>
      <w:r w:rsidRPr="000D42D7">
        <w:rPr>
          <w:rFonts w:ascii="Times New Arabic" w:hAnsi="Times New Arabic"/>
          <w:bCs/>
          <w:sz w:val="24"/>
          <w:szCs w:val="24"/>
        </w:rPr>
        <w:t>These external influences then combine with internal factors within the individual, namely a strong desire to try. An activity that initially began as a mere experiment driven by curiosity evolves into the belief that winning is possible for anyone. It is this hope of winning that traps the gambler and c</w:t>
      </w:r>
      <w:r w:rsidR="0061001A">
        <w:rPr>
          <w:rFonts w:ascii="Times New Arabic" w:hAnsi="Times New Arabic"/>
          <w:bCs/>
          <w:sz w:val="24"/>
          <w:szCs w:val="24"/>
        </w:rPr>
        <w:t>ompels them to keep gambling.</w:t>
      </w:r>
      <w:r w:rsidR="0061001A">
        <w:rPr>
          <w:rStyle w:val="FootnoteReference"/>
          <w:rFonts w:ascii="Times New Arabic" w:hAnsi="Times New Arabic"/>
          <w:bCs/>
          <w:sz w:val="24"/>
          <w:szCs w:val="24"/>
        </w:rPr>
        <w:footnoteReference w:id="24"/>
      </w:r>
      <w:r w:rsidR="0061001A">
        <w:rPr>
          <w:rFonts w:ascii="Times New Arabic" w:hAnsi="Times New Arabic"/>
          <w:bCs/>
          <w:sz w:val="24"/>
          <w:szCs w:val="24"/>
        </w:rPr>
        <w:t xml:space="preserve"> </w:t>
      </w:r>
      <w:r w:rsidRPr="000D42D7">
        <w:rPr>
          <w:rFonts w:ascii="Times New Arabic" w:hAnsi="Times New Arabic"/>
          <w:bCs/>
          <w:sz w:val="24"/>
          <w:szCs w:val="24"/>
        </w:rPr>
        <w:t xml:space="preserve">The cycle of </w:t>
      </w:r>
      <w:r w:rsidR="0024003A" w:rsidRPr="0024003A">
        <w:rPr>
          <w:rFonts w:ascii="Times New Arabic" w:hAnsi="Times New Arabic"/>
          <w:bCs/>
          <w:sz w:val="24"/>
          <w:szCs w:val="24"/>
        </w:rPr>
        <w:t>online</w:t>
      </w:r>
      <w:r w:rsidRPr="000D42D7">
        <w:rPr>
          <w:rFonts w:ascii="Times New Arabic" w:hAnsi="Times New Arabic"/>
          <w:bCs/>
          <w:sz w:val="24"/>
          <w:szCs w:val="24"/>
        </w:rPr>
        <w:t xml:space="preserve"> gambling addiction is further reinforced by the ease of digital technology. The ease of access via cell phones and other electronic devices, without the need to visit a physical gambling location, along with 24-hour availability, makes </w:t>
      </w:r>
      <w:r w:rsidR="0024003A" w:rsidRPr="0024003A">
        <w:rPr>
          <w:rFonts w:ascii="Times New Arabic" w:hAnsi="Times New Arabic"/>
          <w:bCs/>
          <w:sz w:val="24"/>
          <w:szCs w:val="24"/>
        </w:rPr>
        <w:t>online</w:t>
      </w:r>
      <w:r w:rsidRPr="000D42D7">
        <w:rPr>
          <w:rFonts w:ascii="Times New Arabic" w:hAnsi="Times New Arabic"/>
          <w:bCs/>
          <w:sz w:val="24"/>
          <w:szCs w:val="24"/>
        </w:rPr>
        <w:t xml:space="preserve"> gambling increasi</w:t>
      </w:r>
      <w:r w:rsidR="0061001A">
        <w:rPr>
          <w:rFonts w:ascii="Times New Arabic" w:hAnsi="Times New Arabic"/>
          <w:bCs/>
          <w:sz w:val="24"/>
          <w:szCs w:val="24"/>
        </w:rPr>
        <w:t>ngly accessible to the public.</w:t>
      </w:r>
      <w:r w:rsidR="0061001A">
        <w:rPr>
          <w:rStyle w:val="FootnoteReference"/>
          <w:rFonts w:ascii="Times New Arabic" w:hAnsi="Times New Arabic"/>
          <w:bCs/>
          <w:sz w:val="24"/>
          <w:szCs w:val="24"/>
        </w:rPr>
        <w:footnoteReference w:id="25"/>
      </w:r>
      <w:r w:rsidRPr="000D42D7">
        <w:rPr>
          <w:rFonts w:ascii="Times New Arabic" w:hAnsi="Times New Arabic"/>
          <w:bCs/>
          <w:sz w:val="24"/>
          <w:szCs w:val="24"/>
        </w:rPr>
        <w:t xml:space="preserve"> Because ultimately, no</w:t>
      </w:r>
      <w:r w:rsidR="0061001A">
        <w:rPr>
          <w:rFonts w:ascii="Times New Arabic" w:hAnsi="Times New Arabic"/>
          <w:bCs/>
          <w:sz w:val="24"/>
          <w:szCs w:val="24"/>
        </w:rPr>
        <w:t xml:space="preserve"> </w:t>
      </w:r>
      <w:r w:rsidR="0061001A" w:rsidRPr="0061001A">
        <w:rPr>
          <w:rFonts w:ascii="Times New Arabic" w:hAnsi="Times New Arabic"/>
          <w:bCs/>
          <w:sz w:val="24"/>
          <w:szCs w:val="24"/>
        </w:rPr>
        <w:t xml:space="preserve">matter how advanced cyber technology may be, </w:t>
      </w:r>
      <w:r w:rsidR="0024003A" w:rsidRPr="0024003A">
        <w:rPr>
          <w:rFonts w:ascii="Times New Arabic" w:hAnsi="Times New Arabic"/>
          <w:bCs/>
          <w:sz w:val="24"/>
          <w:szCs w:val="24"/>
        </w:rPr>
        <w:t>online</w:t>
      </w:r>
      <w:r w:rsidR="0061001A" w:rsidRPr="0061001A">
        <w:rPr>
          <w:rFonts w:ascii="Times New Arabic" w:hAnsi="Times New Arabic"/>
          <w:bCs/>
          <w:sz w:val="24"/>
          <w:szCs w:val="24"/>
        </w:rPr>
        <w:t xml:space="preserve"> gambling only truly ensnares someone when it meets a lack of self-control. Without an inner moral </w:t>
      </w:r>
      <w:r w:rsidR="0061001A" w:rsidRPr="0061001A">
        <w:rPr>
          <w:rFonts w:ascii="Times New Arabic" w:hAnsi="Times New Arabic"/>
          <w:bCs/>
          <w:sz w:val="24"/>
          <w:szCs w:val="24"/>
        </w:rPr>
        <w:lastRenderedPageBreak/>
        <w:t>compass, the ease of technology will only make it all too easy for someone to drift into a dependency that slowly erodes family harmony.</w:t>
      </w:r>
    </w:p>
    <w:p w14:paraId="67BF2448" w14:textId="617579FF" w:rsidR="0061001A" w:rsidRPr="0061001A" w:rsidRDefault="0061001A" w:rsidP="00F62EAD">
      <w:pPr>
        <w:spacing w:after="0" w:line="360" w:lineRule="auto"/>
        <w:ind w:firstLine="567"/>
        <w:jc w:val="both"/>
        <w:rPr>
          <w:rFonts w:ascii="Times New Arabic" w:hAnsi="Times New Arabic"/>
          <w:bCs/>
          <w:sz w:val="24"/>
          <w:szCs w:val="24"/>
        </w:rPr>
      </w:pPr>
      <w:r w:rsidRPr="0061001A">
        <w:rPr>
          <w:rFonts w:ascii="Times New Arabic" w:hAnsi="Times New Arabic"/>
          <w:bCs/>
          <w:sz w:val="24"/>
          <w:szCs w:val="24"/>
        </w:rPr>
        <w:t xml:space="preserve">This situation demonstrates that </w:t>
      </w:r>
      <w:r w:rsidR="0024003A" w:rsidRPr="0024003A">
        <w:rPr>
          <w:rFonts w:ascii="Times New Arabic" w:hAnsi="Times New Arabic"/>
          <w:bCs/>
          <w:sz w:val="24"/>
          <w:szCs w:val="24"/>
        </w:rPr>
        <w:t>online</w:t>
      </w:r>
      <w:r w:rsidRPr="0061001A">
        <w:rPr>
          <w:rFonts w:ascii="Times New Arabic" w:hAnsi="Times New Arabic"/>
          <w:bCs/>
          <w:sz w:val="24"/>
          <w:szCs w:val="24"/>
        </w:rPr>
        <w:t xml:space="preserve"> gambling is not merely a personal issue, but a social problem in the digital age. Easy access and lax oversight have led to the destructive effects of gambling on the economy, religious values, and the family’s role as a stabilizing force. </w:t>
      </w:r>
      <w:r w:rsidR="0024003A" w:rsidRPr="0024003A">
        <w:rPr>
          <w:rFonts w:ascii="Times New Arabic" w:hAnsi="Times New Arabic"/>
          <w:bCs/>
          <w:sz w:val="24"/>
          <w:szCs w:val="24"/>
        </w:rPr>
        <w:t>Online</w:t>
      </w:r>
      <w:r w:rsidRPr="0061001A">
        <w:rPr>
          <w:rFonts w:ascii="Times New Arabic" w:hAnsi="Times New Arabic"/>
          <w:bCs/>
          <w:sz w:val="24"/>
          <w:szCs w:val="24"/>
        </w:rPr>
        <w:t xml:space="preserve"> gambling addiction threatens family resilience with serious consequences such as loss of assets, debt traps, criminal acts, arguments, violence, and even divorce. This proves that </w:t>
      </w:r>
      <w:r w:rsidR="0024003A" w:rsidRPr="0024003A">
        <w:rPr>
          <w:rFonts w:ascii="Times New Arabic" w:hAnsi="Times New Arabic"/>
          <w:bCs/>
          <w:sz w:val="24"/>
          <w:szCs w:val="24"/>
        </w:rPr>
        <w:t>online</w:t>
      </w:r>
      <w:r w:rsidRPr="0061001A">
        <w:rPr>
          <w:rFonts w:ascii="Times New Arabic" w:hAnsi="Times New Arabic"/>
          <w:bCs/>
          <w:sz w:val="24"/>
          <w:szCs w:val="24"/>
        </w:rPr>
        <w:t xml:space="preserve"> gambling is not merely a virtual activity but a real threat to the stability of families and society.</w:t>
      </w:r>
    </w:p>
    <w:p w14:paraId="77E615C6" w14:textId="6ADD651F" w:rsidR="000D42D7" w:rsidRDefault="0061001A" w:rsidP="00F62EAD">
      <w:pPr>
        <w:spacing w:after="0" w:line="360" w:lineRule="auto"/>
        <w:ind w:firstLine="567"/>
        <w:jc w:val="both"/>
        <w:rPr>
          <w:rFonts w:ascii="Times New Arabic" w:hAnsi="Times New Arabic"/>
          <w:bCs/>
          <w:sz w:val="24"/>
          <w:szCs w:val="24"/>
        </w:rPr>
      </w:pPr>
      <w:r w:rsidRPr="0061001A">
        <w:rPr>
          <w:rFonts w:ascii="Times New Arabic" w:hAnsi="Times New Arabic"/>
          <w:bCs/>
          <w:sz w:val="24"/>
          <w:szCs w:val="24"/>
        </w:rPr>
        <w:t>Fundamentally, the family is not merely understood as the smallest unit of society but is also expected to possess the ability to maintain harmony and protect its members. This ability is known as family resilience. According to the Ministry of Women’s Empowerment and Child Protection, family resilience is defined as a family’s ability to maintain, protect itself, and overcome various problems or threats in life. This applies to both internal family issues and external factors, such as the environment, community, broade</w:t>
      </w:r>
      <w:r>
        <w:rPr>
          <w:rFonts w:ascii="Times New Arabic" w:hAnsi="Times New Arabic"/>
          <w:bCs/>
          <w:sz w:val="24"/>
          <w:szCs w:val="24"/>
        </w:rPr>
        <w:t>r society, and even the state.</w:t>
      </w:r>
      <w:r>
        <w:rPr>
          <w:rStyle w:val="FootnoteReference"/>
          <w:rFonts w:ascii="Times New Arabic" w:hAnsi="Times New Arabic"/>
          <w:bCs/>
          <w:sz w:val="24"/>
          <w:szCs w:val="24"/>
        </w:rPr>
        <w:footnoteReference w:id="26"/>
      </w:r>
      <w:r w:rsidRPr="0061001A">
        <w:rPr>
          <w:rFonts w:ascii="Times New Arabic" w:hAnsi="Times New Arabic"/>
          <w:bCs/>
          <w:sz w:val="24"/>
          <w:szCs w:val="24"/>
        </w:rPr>
        <w:t xml:space="preserve"> This principle aligns with the provisions of Article 1, Paragraph (11) of Law No. 52 of 2009, which emphasizes that family resilience fundamentally relies on perseverance and resilience—both physically and materially as well as psychologically and spiritually—so that all family m</w:t>
      </w:r>
      <w:r>
        <w:rPr>
          <w:rFonts w:ascii="Times New Arabic" w:hAnsi="Times New Arabic"/>
          <w:bCs/>
          <w:sz w:val="24"/>
          <w:szCs w:val="24"/>
        </w:rPr>
        <w:t>embers can live independently.</w:t>
      </w:r>
      <w:r>
        <w:rPr>
          <w:rStyle w:val="FootnoteReference"/>
          <w:rFonts w:ascii="Times New Arabic" w:hAnsi="Times New Arabic"/>
          <w:bCs/>
          <w:sz w:val="24"/>
          <w:szCs w:val="24"/>
        </w:rPr>
        <w:footnoteReference w:id="27"/>
      </w:r>
      <w:r w:rsidRPr="0061001A">
        <w:rPr>
          <w:rFonts w:ascii="Times New Arabic" w:hAnsi="Times New Arabic"/>
          <w:bCs/>
          <w:sz w:val="24"/>
          <w:szCs w:val="24"/>
        </w:rPr>
        <w:t xml:space="preserve"> However, when this defensive </w:t>
      </w:r>
      <w:r w:rsidRPr="0061001A">
        <w:rPr>
          <w:rFonts w:ascii="Times New Arabic" w:hAnsi="Times New Arabic"/>
          <w:bCs/>
          <w:sz w:val="24"/>
          <w:szCs w:val="24"/>
        </w:rPr>
        <w:lastRenderedPageBreak/>
        <w:t>fortress begins to crumble due to weak moral control within the home, various external issues can easily infiltrate and disrupt family harmony.</w:t>
      </w:r>
    </w:p>
    <w:p w14:paraId="471BFEF5" w14:textId="6D0B3B14" w:rsidR="0061001A" w:rsidRPr="0061001A" w:rsidRDefault="0061001A" w:rsidP="00F62EAD">
      <w:pPr>
        <w:spacing w:after="0" w:line="360" w:lineRule="auto"/>
        <w:ind w:firstLine="567"/>
        <w:jc w:val="both"/>
        <w:rPr>
          <w:rFonts w:ascii="Times New Arabic" w:hAnsi="Times New Arabic"/>
          <w:bCs/>
          <w:sz w:val="24"/>
          <w:szCs w:val="24"/>
        </w:rPr>
      </w:pPr>
      <w:r w:rsidRPr="0061001A">
        <w:rPr>
          <w:rFonts w:ascii="Times New Arabic" w:hAnsi="Times New Arabic"/>
          <w:bCs/>
          <w:sz w:val="24"/>
          <w:szCs w:val="24"/>
        </w:rPr>
        <w:t xml:space="preserve">Currently, family resilience—which should serve as a bulwark of life—is threatened by the rise of </w:t>
      </w:r>
      <w:r w:rsidR="0024003A" w:rsidRPr="0024003A">
        <w:rPr>
          <w:rFonts w:ascii="Times New Arabic" w:hAnsi="Times New Arabic"/>
          <w:bCs/>
          <w:sz w:val="24"/>
          <w:szCs w:val="24"/>
        </w:rPr>
        <w:t>online</w:t>
      </w:r>
      <w:r w:rsidRPr="0061001A">
        <w:rPr>
          <w:rFonts w:ascii="Times New Arabic" w:hAnsi="Times New Arabic"/>
          <w:bCs/>
          <w:sz w:val="24"/>
          <w:szCs w:val="24"/>
        </w:rPr>
        <w:t xml:space="preserve"> gambling. This activity not only affects the individual gambler but also shakes the family’s stability as a whole. The impact of </w:t>
      </w:r>
      <w:r w:rsidR="0024003A" w:rsidRPr="0024003A">
        <w:rPr>
          <w:rFonts w:ascii="Times New Arabic" w:hAnsi="Times New Arabic"/>
          <w:bCs/>
          <w:sz w:val="24"/>
          <w:szCs w:val="24"/>
        </w:rPr>
        <w:t>online</w:t>
      </w:r>
      <w:r w:rsidRPr="0061001A">
        <w:rPr>
          <w:rFonts w:ascii="Times New Arabic" w:hAnsi="Times New Arabic"/>
          <w:bCs/>
          <w:sz w:val="24"/>
          <w:szCs w:val="24"/>
        </w:rPr>
        <w:t xml:space="preserve"> gambling on family resilience is evident across various aspects, ranging from economic, psychological, to spiritual dimensions. From an economic perspective, </w:t>
      </w:r>
      <w:r w:rsidR="0024003A" w:rsidRPr="0024003A">
        <w:rPr>
          <w:rFonts w:ascii="Times New Arabic" w:hAnsi="Times New Arabic"/>
          <w:bCs/>
          <w:sz w:val="24"/>
          <w:szCs w:val="24"/>
        </w:rPr>
        <w:t>online</w:t>
      </w:r>
      <w:r w:rsidRPr="0061001A">
        <w:rPr>
          <w:rFonts w:ascii="Times New Arabic" w:hAnsi="Times New Arabic"/>
          <w:bCs/>
          <w:sz w:val="24"/>
          <w:szCs w:val="24"/>
        </w:rPr>
        <w:t xml:space="preserve"> gambling directly results in significant financial losses for th</w:t>
      </w:r>
      <w:r w:rsidR="00331BC1">
        <w:rPr>
          <w:rFonts w:ascii="Times New Arabic" w:hAnsi="Times New Arabic"/>
          <w:bCs/>
          <w:sz w:val="24"/>
          <w:szCs w:val="24"/>
        </w:rPr>
        <w:t>e individual and their family.</w:t>
      </w:r>
      <w:r w:rsidR="00331BC1">
        <w:rPr>
          <w:rStyle w:val="FootnoteReference"/>
          <w:rFonts w:ascii="Times New Arabic" w:hAnsi="Times New Arabic"/>
          <w:bCs/>
          <w:sz w:val="24"/>
          <w:szCs w:val="24"/>
        </w:rPr>
        <w:footnoteReference w:id="28"/>
      </w:r>
      <w:r w:rsidRPr="0061001A">
        <w:rPr>
          <w:rFonts w:ascii="Times New Arabic" w:hAnsi="Times New Arabic"/>
          <w:bCs/>
          <w:sz w:val="24"/>
          <w:szCs w:val="24"/>
        </w:rPr>
        <w:t xml:space="preserve"> This economic pressure also affects the family’s mental health, marked by a decline in mutual trust between partners, a reduction in togetherness, and the emergence of emotional and physical distance that gradually triggers prolo</w:t>
      </w:r>
      <w:r w:rsidR="00331BC1">
        <w:rPr>
          <w:rFonts w:ascii="Times New Arabic" w:hAnsi="Times New Arabic"/>
          <w:bCs/>
          <w:sz w:val="24"/>
          <w:szCs w:val="24"/>
        </w:rPr>
        <w:t>nged stress within the family.</w:t>
      </w:r>
      <w:r w:rsidR="00331BC1">
        <w:rPr>
          <w:rStyle w:val="FootnoteReference"/>
          <w:rFonts w:ascii="Times New Arabic" w:hAnsi="Times New Arabic"/>
          <w:bCs/>
          <w:sz w:val="24"/>
          <w:szCs w:val="24"/>
        </w:rPr>
        <w:footnoteReference w:id="29"/>
      </w:r>
    </w:p>
    <w:p w14:paraId="7520B615" w14:textId="78B2FF3B" w:rsidR="0061001A" w:rsidRDefault="0061001A" w:rsidP="00F62EAD">
      <w:pPr>
        <w:spacing w:after="0" w:line="360" w:lineRule="auto"/>
        <w:ind w:firstLine="567"/>
        <w:jc w:val="both"/>
        <w:rPr>
          <w:rFonts w:ascii="Times New Arabic" w:hAnsi="Times New Arabic"/>
          <w:bCs/>
          <w:sz w:val="24"/>
          <w:szCs w:val="24"/>
        </w:rPr>
      </w:pPr>
      <w:r w:rsidRPr="0061001A">
        <w:rPr>
          <w:rFonts w:ascii="Times New Arabic" w:hAnsi="Times New Arabic"/>
          <w:bCs/>
          <w:sz w:val="24"/>
          <w:szCs w:val="24"/>
        </w:rPr>
        <w:t>This accumulation of psychological tension and economic problems often serves as the primary trigger for more severe conflicts within the household. Consequently, households become prone to aggressive behavior and domestic violence (DV), which in the most extreme</w:t>
      </w:r>
      <w:r w:rsidR="00331BC1">
        <w:rPr>
          <w:rFonts w:ascii="Times New Arabic" w:hAnsi="Times New Arabic"/>
          <w:bCs/>
          <w:sz w:val="24"/>
          <w:szCs w:val="24"/>
        </w:rPr>
        <w:t xml:space="preserve"> cases often leads to divorce.</w:t>
      </w:r>
      <w:r w:rsidR="00331BC1">
        <w:rPr>
          <w:rStyle w:val="FootnoteReference"/>
          <w:rFonts w:ascii="Times New Arabic" w:hAnsi="Times New Arabic"/>
          <w:bCs/>
          <w:sz w:val="24"/>
          <w:szCs w:val="24"/>
        </w:rPr>
        <w:footnoteReference w:id="30"/>
      </w:r>
      <w:r w:rsidRPr="0061001A">
        <w:rPr>
          <w:rFonts w:ascii="Times New Arabic" w:hAnsi="Times New Arabic"/>
          <w:bCs/>
          <w:sz w:val="24"/>
          <w:szCs w:val="24"/>
        </w:rPr>
        <w:t xml:space="preserve"> In addition to causing domestic problems, </w:t>
      </w:r>
      <w:r w:rsidR="0024003A" w:rsidRPr="0024003A">
        <w:rPr>
          <w:rFonts w:ascii="Times New Arabic" w:hAnsi="Times New Arabic"/>
          <w:bCs/>
          <w:sz w:val="24"/>
          <w:szCs w:val="24"/>
        </w:rPr>
        <w:t>online</w:t>
      </w:r>
      <w:r w:rsidRPr="0061001A">
        <w:rPr>
          <w:rFonts w:ascii="Times New Arabic" w:hAnsi="Times New Arabic"/>
          <w:bCs/>
          <w:sz w:val="24"/>
          <w:szCs w:val="24"/>
        </w:rPr>
        <w:t xml:space="preserve"> gambling also influences public perception. The families of those involved are often stigmatized and viewed as having failed in their parenting. This stigma harms </w:t>
      </w:r>
      <w:r w:rsidRPr="0061001A">
        <w:rPr>
          <w:rFonts w:ascii="Times New Arabic" w:hAnsi="Times New Arabic"/>
          <w:bCs/>
          <w:sz w:val="24"/>
          <w:szCs w:val="24"/>
        </w:rPr>
        <w:lastRenderedPageBreak/>
        <w:t xml:space="preserve">individuals and simultaneously weakens the family’s </w:t>
      </w:r>
      <w:r w:rsidR="00331BC1">
        <w:rPr>
          <w:rFonts w:ascii="Times New Arabic" w:hAnsi="Times New Arabic"/>
          <w:bCs/>
          <w:sz w:val="24"/>
          <w:szCs w:val="24"/>
        </w:rPr>
        <w:t>standing within the community.</w:t>
      </w:r>
      <w:r w:rsidR="00331BC1">
        <w:rPr>
          <w:rStyle w:val="FootnoteReference"/>
          <w:rFonts w:ascii="Times New Arabic" w:hAnsi="Times New Arabic"/>
          <w:bCs/>
          <w:sz w:val="24"/>
          <w:szCs w:val="24"/>
        </w:rPr>
        <w:footnoteReference w:id="31"/>
      </w:r>
      <w:r w:rsidRPr="0061001A">
        <w:rPr>
          <w:rFonts w:ascii="Times New Arabic" w:hAnsi="Times New Arabic"/>
          <w:bCs/>
          <w:sz w:val="24"/>
          <w:szCs w:val="24"/>
        </w:rPr>
        <w:t xml:space="preserve"> At the same time, the grip of </w:t>
      </w:r>
      <w:r w:rsidR="0024003A" w:rsidRPr="0024003A">
        <w:rPr>
          <w:rFonts w:ascii="Times New Arabic" w:hAnsi="Times New Arabic"/>
          <w:bCs/>
          <w:sz w:val="24"/>
          <w:szCs w:val="24"/>
        </w:rPr>
        <w:t>online</w:t>
      </w:r>
      <w:r w:rsidRPr="0061001A">
        <w:rPr>
          <w:rFonts w:ascii="Times New Arabic" w:hAnsi="Times New Arabic"/>
          <w:bCs/>
          <w:sz w:val="24"/>
          <w:szCs w:val="24"/>
        </w:rPr>
        <w:t xml:space="preserve"> gambling also undermines the spiritual aspect of the home. When those involved begin to neglect their religious duties, the religious atmosphere within the household erodes, ultimately eroding the religious foundation that should serve as the primary pillar of family harmony.</w:t>
      </w:r>
      <w:r w:rsidR="00041CB2">
        <w:rPr>
          <w:rFonts w:ascii="Times New Arabic" w:hAnsi="Times New Arabic"/>
          <w:bCs/>
          <w:sz w:val="24"/>
          <w:szCs w:val="24"/>
        </w:rPr>
        <w:t xml:space="preserve"> </w:t>
      </w:r>
    </w:p>
    <w:p w14:paraId="30A4B6B5" w14:textId="5D3E6034" w:rsidR="00041CB2" w:rsidRPr="00041CB2" w:rsidRDefault="00041CB2" w:rsidP="00B50F33">
      <w:pPr>
        <w:spacing w:after="0" w:line="360" w:lineRule="auto"/>
        <w:ind w:firstLine="567"/>
        <w:jc w:val="both"/>
        <w:rPr>
          <w:rFonts w:ascii="Times New Arabic" w:hAnsi="Times New Arabic"/>
          <w:bCs/>
          <w:sz w:val="24"/>
          <w:szCs w:val="24"/>
        </w:rPr>
      </w:pPr>
      <w:r w:rsidRPr="00041CB2">
        <w:rPr>
          <w:rFonts w:ascii="Times New Arabic" w:hAnsi="Times New Arabic"/>
          <w:bCs/>
          <w:sz w:val="24"/>
          <w:szCs w:val="24"/>
        </w:rPr>
        <w:t xml:space="preserve">The various realities outlined above confirm that </w:t>
      </w:r>
      <w:r w:rsidR="0024003A" w:rsidRPr="0024003A">
        <w:rPr>
          <w:rFonts w:ascii="Times New Arabic" w:hAnsi="Times New Arabic"/>
          <w:bCs/>
          <w:sz w:val="24"/>
          <w:szCs w:val="24"/>
        </w:rPr>
        <w:t>online</w:t>
      </w:r>
      <w:r w:rsidRPr="00041CB2">
        <w:rPr>
          <w:rFonts w:ascii="Times New Arabic" w:hAnsi="Times New Arabic"/>
          <w:bCs/>
          <w:sz w:val="24"/>
          <w:szCs w:val="24"/>
        </w:rPr>
        <w:t xml:space="preserve"> gambling does not merely drain financial resources, but triggers a chain reaction that undermines economic stability, mental well-being, social relationships, and even religious practices within the household. From a financial sociology perspective, the damaging effects of gambling do not stop at the individual gambler but spread through a ripple effect that imposes financial and psychological burdens on an average of six people in the immediate circle, with spouses and children being the mos</w:t>
      </w:r>
      <w:r>
        <w:rPr>
          <w:rFonts w:ascii="Times New Arabic" w:hAnsi="Times New Arabic"/>
          <w:bCs/>
          <w:sz w:val="24"/>
          <w:szCs w:val="24"/>
        </w:rPr>
        <w:t>t vulnerable group of victims.</w:t>
      </w:r>
      <w:r>
        <w:rPr>
          <w:rStyle w:val="FootnoteReference"/>
          <w:rFonts w:ascii="Times New Arabic" w:hAnsi="Times New Arabic"/>
          <w:bCs/>
          <w:sz w:val="24"/>
          <w:szCs w:val="24"/>
        </w:rPr>
        <w:footnoteReference w:id="32"/>
      </w:r>
    </w:p>
    <w:p w14:paraId="10588753" w14:textId="659A62F0" w:rsidR="00041CB2" w:rsidRDefault="00041CB2" w:rsidP="00B50F33">
      <w:pPr>
        <w:spacing w:after="0" w:line="360" w:lineRule="auto"/>
        <w:ind w:firstLine="567"/>
        <w:jc w:val="both"/>
        <w:rPr>
          <w:rFonts w:ascii="Times New Arabic" w:hAnsi="Times New Arabic"/>
          <w:bCs/>
          <w:sz w:val="24"/>
          <w:szCs w:val="24"/>
        </w:rPr>
      </w:pPr>
      <w:r w:rsidRPr="00041CB2">
        <w:rPr>
          <w:rFonts w:ascii="Times New Arabic" w:hAnsi="Times New Arabic"/>
          <w:bCs/>
          <w:sz w:val="24"/>
          <w:szCs w:val="24"/>
        </w:rPr>
        <w:t xml:space="preserve">When this addiction has eroded the natural functions and roles of each family member, the harmony of the household will collapse on its own. This phenomenon serves as clear evidence of just how serious a threat </w:t>
      </w:r>
      <w:r w:rsidR="0024003A" w:rsidRPr="0024003A">
        <w:rPr>
          <w:rFonts w:ascii="Times New Arabic" w:hAnsi="Times New Arabic"/>
          <w:bCs/>
          <w:sz w:val="24"/>
          <w:szCs w:val="24"/>
        </w:rPr>
        <w:t>online</w:t>
      </w:r>
      <w:r w:rsidRPr="00041CB2">
        <w:rPr>
          <w:rFonts w:ascii="Times New Arabic" w:hAnsi="Times New Arabic"/>
          <w:bCs/>
          <w:sz w:val="24"/>
          <w:szCs w:val="24"/>
        </w:rPr>
        <w:t xml:space="preserve"> gambling poses to family resilience in today’s modern era. The tangible destructive impact on contemporary social life essentially reinforces the rationale behind the prohibition of gambling activities in Islam. Therefore, the Qur’anic perspective on </w:t>
      </w:r>
      <w:r w:rsidR="006313C3" w:rsidRPr="006313C3">
        <w:rPr>
          <w:rFonts w:ascii="Times New Arabic" w:hAnsi="Times New Arabic"/>
          <w:bCs/>
          <w:i/>
          <w:sz w:val="24"/>
          <w:szCs w:val="24"/>
        </w:rPr>
        <w:t>maysir</w:t>
      </w:r>
      <w:r w:rsidRPr="00041CB2">
        <w:rPr>
          <w:rFonts w:ascii="Times New Arabic" w:hAnsi="Times New Arabic"/>
          <w:bCs/>
          <w:sz w:val="24"/>
          <w:szCs w:val="24"/>
        </w:rPr>
        <w:t xml:space="preserve"> provides both a theological foundation and a preventive solution for </w:t>
      </w:r>
      <w:r>
        <w:rPr>
          <w:rFonts w:ascii="Times New Arabic" w:hAnsi="Times New Arabic"/>
          <w:bCs/>
          <w:sz w:val="24"/>
          <w:szCs w:val="24"/>
        </w:rPr>
        <w:t>safeguarding family resilience.</w:t>
      </w:r>
    </w:p>
    <w:p w14:paraId="6EF85D7A" w14:textId="77777777" w:rsidR="009012F2" w:rsidRPr="00041CB2" w:rsidRDefault="009012F2" w:rsidP="009012F2">
      <w:pPr>
        <w:spacing w:after="0" w:line="360" w:lineRule="auto"/>
        <w:jc w:val="both"/>
        <w:rPr>
          <w:rFonts w:ascii="Times New Arabic" w:hAnsi="Times New Arabic"/>
          <w:bCs/>
          <w:sz w:val="24"/>
          <w:szCs w:val="24"/>
        </w:rPr>
      </w:pPr>
    </w:p>
    <w:p w14:paraId="2A42595A" w14:textId="429D2888" w:rsidR="00041CB2" w:rsidRPr="00041CB2" w:rsidRDefault="00041CB2" w:rsidP="009012F2">
      <w:pPr>
        <w:pStyle w:val="ListParagraph"/>
        <w:numPr>
          <w:ilvl w:val="0"/>
          <w:numId w:val="28"/>
        </w:numPr>
        <w:spacing w:after="0" w:line="360" w:lineRule="auto"/>
        <w:jc w:val="both"/>
        <w:rPr>
          <w:rFonts w:ascii="Times New Arabic" w:hAnsi="Times New Arabic"/>
          <w:b/>
          <w:bCs/>
          <w:sz w:val="24"/>
          <w:szCs w:val="24"/>
        </w:rPr>
      </w:pPr>
      <w:r w:rsidRPr="00041CB2">
        <w:rPr>
          <w:rFonts w:ascii="Times New Arabic" w:hAnsi="Times New Arabic"/>
          <w:b/>
          <w:bCs/>
          <w:sz w:val="24"/>
          <w:szCs w:val="24"/>
        </w:rPr>
        <w:t>The Prohibition of Gambling in the Qur’an and Its Relevance in the Digital Age</w:t>
      </w:r>
    </w:p>
    <w:p w14:paraId="52E266B1" w14:textId="1FF76DD0" w:rsidR="00041CB2" w:rsidRDefault="00041CB2" w:rsidP="00B50F33">
      <w:pPr>
        <w:spacing w:after="0" w:line="360" w:lineRule="auto"/>
        <w:ind w:firstLine="567"/>
        <w:jc w:val="both"/>
        <w:rPr>
          <w:rFonts w:ascii="Times New Arabic" w:hAnsi="Times New Arabic"/>
          <w:bCs/>
          <w:sz w:val="24"/>
          <w:szCs w:val="24"/>
        </w:rPr>
      </w:pPr>
      <w:r w:rsidRPr="00041CB2">
        <w:rPr>
          <w:rFonts w:ascii="Times New Arabic" w:hAnsi="Times New Arabic"/>
          <w:bCs/>
          <w:sz w:val="24"/>
          <w:szCs w:val="24"/>
        </w:rPr>
        <w:t>Islam prohibits all forms of gambling because it is deemed capable of corrupting human morality as well as social and spiritual life. The affirmation of this prohibition is found in Surah al-Ma’idah, verses 90–91, which explain that gambling is an act stemming from the temptations of Satan and must therefore</w:t>
      </w:r>
      <w:r>
        <w:rPr>
          <w:rFonts w:ascii="Times New Arabic" w:hAnsi="Times New Arabic"/>
          <w:bCs/>
          <w:sz w:val="24"/>
          <w:szCs w:val="24"/>
        </w:rPr>
        <w:t xml:space="preserve"> be avoided by every believer.</w:t>
      </w:r>
      <w:r>
        <w:rPr>
          <w:rStyle w:val="FootnoteReference"/>
          <w:rFonts w:ascii="Times New Arabic" w:hAnsi="Times New Arabic"/>
          <w:bCs/>
          <w:sz w:val="24"/>
          <w:szCs w:val="24"/>
        </w:rPr>
        <w:footnoteReference w:id="33"/>
      </w:r>
      <w:r w:rsidRPr="00041CB2">
        <w:rPr>
          <w:rFonts w:ascii="Times New Arabic" w:hAnsi="Times New Arabic"/>
          <w:bCs/>
          <w:sz w:val="24"/>
          <w:szCs w:val="24"/>
        </w:rPr>
        <w:t xml:space="preserve"> This explicit prohibition is enshrined in the words of Allah SWT:</w:t>
      </w:r>
    </w:p>
    <w:p w14:paraId="492707EE" w14:textId="77777777" w:rsidR="009012F2" w:rsidRDefault="009012F2" w:rsidP="009012F2">
      <w:pPr>
        <w:spacing w:after="0" w:line="360" w:lineRule="auto"/>
        <w:jc w:val="both"/>
        <w:rPr>
          <w:rFonts w:ascii="Times New Arabic" w:hAnsi="Times New Arabic"/>
          <w:bCs/>
          <w:sz w:val="24"/>
          <w:szCs w:val="24"/>
        </w:rPr>
      </w:pPr>
    </w:p>
    <w:p w14:paraId="19959B9B" w14:textId="77777777" w:rsidR="00B50F33" w:rsidRDefault="00041CB2" w:rsidP="00B50F33">
      <w:pPr>
        <w:spacing w:after="0"/>
        <w:jc w:val="right"/>
        <w:rPr>
          <w:rFonts w:ascii="LPMQ Isep Misbah" w:hAnsi="LPMQ Isep Misbah" w:cs="LPMQ Isep Misbah"/>
          <w:bCs/>
          <w:sz w:val="24"/>
          <w:szCs w:val="24"/>
        </w:rPr>
      </w:pPr>
      <w:r w:rsidRPr="00B50F33">
        <w:rPr>
          <w:rFonts w:ascii="LPMQ Isep Misbah" w:hAnsi="LPMQ Isep Misbah" w:cs="LPMQ Isep Misbah"/>
          <w:bCs/>
          <w:sz w:val="24"/>
          <w:szCs w:val="24"/>
        </w:rPr>
        <w:t>يٰٓاَيُّهَا الَّذِيْنَ اٰمَنُوْٓا اِنَّمَا الْخَمْرُ وَالْمَيْسِرُ وَالْاَنْصَابُ وَالْاَزْلَامُ رِجْسٌ مِّنْ عَمَلِ الشَّيْطٰنِ فَاجْتَنِبُوْهُ لَعَلَّكُمْ تُفْلِحُوْنَ ۝ اِنَّمَا يُرِيْدُ الشَّيْطٰنُ اَنْ يُّوْقِعَ بَيْنَكُمُ الْعَدَاوَةَ وَالْبَغْضَاۤءَ فِى الْخَمْرِ وَالْمَيْسِرِ وَيَصُدَّكُمْ عَنْ ذِكْرِ اللّٰهِ وَعَنِ الصَّلٰوةِ فَهَلْ اَنْتُمْ مُّنْتَهُوْنَ</w:t>
      </w:r>
    </w:p>
    <w:p w14:paraId="738C51B8" w14:textId="6B2F8887" w:rsidR="00041CB2" w:rsidRPr="00B50F33" w:rsidRDefault="00041CB2" w:rsidP="00B50F33">
      <w:pPr>
        <w:spacing w:after="0"/>
        <w:jc w:val="right"/>
        <w:rPr>
          <w:rFonts w:ascii="LPMQ Isep Misbah" w:hAnsi="LPMQ Isep Misbah" w:cs="LPMQ Isep Misbah"/>
          <w:bCs/>
          <w:sz w:val="24"/>
          <w:szCs w:val="24"/>
        </w:rPr>
      </w:pPr>
      <w:r w:rsidRPr="00B50F33">
        <w:rPr>
          <w:rFonts w:ascii="LPMQ Isep Misbah" w:hAnsi="LPMQ Isep Misbah" w:cs="LPMQ Isep Misbah"/>
          <w:bCs/>
          <w:sz w:val="24"/>
          <w:szCs w:val="24"/>
        </w:rPr>
        <w:t xml:space="preserve">    </w:t>
      </w:r>
    </w:p>
    <w:p w14:paraId="20B6FE96" w14:textId="1075116C" w:rsidR="00041CB2" w:rsidRDefault="00041CB2" w:rsidP="00B50F33">
      <w:pPr>
        <w:spacing w:after="0" w:line="360" w:lineRule="auto"/>
        <w:jc w:val="both"/>
        <w:rPr>
          <w:rFonts w:ascii="Times New Arabic" w:hAnsi="Times New Arabic"/>
          <w:bCs/>
          <w:i/>
          <w:sz w:val="24"/>
          <w:szCs w:val="24"/>
        </w:rPr>
      </w:pPr>
      <w:r w:rsidRPr="00041CB2">
        <w:rPr>
          <w:rFonts w:ascii="Times New Arabic" w:hAnsi="Times New Arabic"/>
          <w:bCs/>
          <w:i/>
          <w:sz w:val="24"/>
          <w:szCs w:val="24"/>
        </w:rPr>
        <w:t>"O you who believe, indeed, (drinking) wine, gambling, (sacrificing to) idols, and divining with arrows are among the deeds of Satan. So avoid such deeds so that you may prosper. Indeed, Satan seeks to sow enmity and hatred among you through the consumption of intoxicants and gambling, and to prevent you from remembering Allah and performing prayer; so desist from such deeds. "(QS. al-Ma’idah 90-91)</w:t>
      </w:r>
    </w:p>
    <w:p w14:paraId="796823FA" w14:textId="77777777" w:rsidR="009012F2" w:rsidRPr="00041CB2" w:rsidRDefault="009012F2" w:rsidP="009012F2">
      <w:pPr>
        <w:spacing w:after="0" w:line="360" w:lineRule="auto"/>
        <w:rPr>
          <w:rFonts w:ascii="Times New Arabic" w:hAnsi="Times New Arabic"/>
          <w:bCs/>
          <w:i/>
          <w:sz w:val="24"/>
          <w:szCs w:val="24"/>
        </w:rPr>
      </w:pPr>
    </w:p>
    <w:p w14:paraId="275174A5" w14:textId="15ACF748" w:rsidR="00041CB2" w:rsidRPr="00041CB2" w:rsidRDefault="00041CB2" w:rsidP="00B50F33">
      <w:pPr>
        <w:spacing w:after="0" w:line="360" w:lineRule="auto"/>
        <w:ind w:firstLine="567"/>
        <w:jc w:val="both"/>
        <w:rPr>
          <w:rFonts w:ascii="Times New Arabic" w:hAnsi="Times New Arabic"/>
          <w:bCs/>
          <w:sz w:val="24"/>
          <w:szCs w:val="24"/>
        </w:rPr>
      </w:pPr>
      <w:r w:rsidRPr="00041CB2">
        <w:rPr>
          <w:rFonts w:ascii="Times New Arabic" w:hAnsi="Times New Arabic"/>
          <w:bCs/>
          <w:sz w:val="24"/>
          <w:szCs w:val="24"/>
        </w:rPr>
        <w:t xml:space="preserve">Historically, the revelation of this verse is inseparable from the social reality of the Madinah community in the early days of Islam, which was still accustomed to the culture of consuming alcohol and gambling. Several </w:t>
      </w:r>
      <w:r w:rsidRPr="00041CB2">
        <w:rPr>
          <w:rFonts w:ascii="Times New Arabic" w:hAnsi="Times New Arabic"/>
          <w:bCs/>
          <w:sz w:val="24"/>
          <w:szCs w:val="24"/>
        </w:rPr>
        <w:lastRenderedPageBreak/>
        <w:t>historical records document the destructive impact of these habits, ranging from aspects of worship—such as a companion misreciting a verse while leading prayer due to being under the influence of alcohol—to social conflicts in the form of se</w:t>
      </w:r>
      <w:r>
        <w:rPr>
          <w:rFonts w:ascii="Times New Arabic" w:hAnsi="Times New Arabic"/>
          <w:bCs/>
          <w:sz w:val="24"/>
          <w:szCs w:val="24"/>
        </w:rPr>
        <w:t>vere disputes among the Ansar.</w:t>
      </w:r>
      <w:r>
        <w:rPr>
          <w:rStyle w:val="FootnoteReference"/>
          <w:rFonts w:ascii="Times New Arabic" w:hAnsi="Times New Arabic"/>
          <w:bCs/>
          <w:sz w:val="24"/>
          <w:szCs w:val="24"/>
        </w:rPr>
        <w:footnoteReference w:id="34"/>
      </w:r>
      <w:r w:rsidRPr="00041CB2">
        <w:rPr>
          <w:rFonts w:ascii="Times New Arabic" w:hAnsi="Times New Arabic"/>
          <w:bCs/>
          <w:sz w:val="24"/>
          <w:szCs w:val="24"/>
        </w:rPr>
        <w:t xml:space="preserve"> These concrete events demonstrate that the effects of alcohol consumption and gambling activities tangibly undermine the moral order and social harmony of society, prompting Allah SWT to issue a strict and absolute prohibition through this verse.</w:t>
      </w:r>
    </w:p>
    <w:p w14:paraId="055176E5" w14:textId="16499C9C" w:rsidR="000B474F" w:rsidRDefault="00041CB2" w:rsidP="00B50F33">
      <w:pPr>
        <w:spacing w:after="0" w:line="360" w:lineRule="auto"/>
        <w:ind w:firstLine="567"/>
        <w:jc w:val="both"/>
        <w:rPr>
          <w:rFonts w:ascii="Times New Arabic" w:hAnsi="Times New Arabic"/>
          <w:bCs/>
          <w:sz w:val="24"/>
          <w:szCs w:val="24"/>
        </w:rPr>
      </w:pPr>
      <w:r w:rsidRPr="00041CB2">
        <w:rPr>
          <w:rFonts w:ascii="Times New Arabic" w:hAnsi="Times New Arabic"/>
          <w:bCs/>
          <w:sz w:val="24"/>
          <w:szCs w:val="24"/>
        </w:rPr>
        <w:t>In this verse, Allah SWT emphasizes that gambling, alcohol, idol worship, and divination are despicable acts originating from satanic behavior. These acts are considered impure, so believers are commanded to avoid them in order to attain blessings. Furthermore, gambling is also said to foster enmity and hatred, and to distract people from rememberin</w:t>
      </w:r>
      <w:r>
        <w:rPr>
          <w:rFonts w:ascii="Times New Arabic" w:hAnsi="Times New Arabic"/>
          <w:bCs/>
          <w:sz w:val="24"/>
          <w:szCs w:val="24"/>
        </w:rPr>
        <w:t>g Allah and performing prayer.</w:t>
      </w:r>
      <w:r>
        <w:rPr>
          <w:rStyle w:val="FootnoteReference"/>
          <w:rFonts w:ascii="Times New Arabic" w:hAnsi="Times New Arabic"/>
          <w:bCs/>
          <w:sz w:val="24"/>
          <w:szCs w:val="24"/>
        </w:rPr>
        <w:footnoteReference w:id="35"/>
      </w:r>
      <w:r w:rsidRPr="00041CB2">
        <w:rPr>
          <w:rFonts w:ascii="Times New Arabic" w:hAnsi="Times New Arabic"/>
          <w:bCs/>
          <w:sz w:val="24"/>
          <w:szCs w:val="24"/>
        </w:rPr>
        <w:t xml:space="preserve"> Before this total</w:t>
      </w:r>
      <w:r w:rsidR="000B474F">
        <w:rPr>
          <w:rFonts w:ascii="Times New Arabic" w:hAnsi="Times New Arabic"/>
          <w:bCs/>
          <w:sz w:val="24"/>
          <w:szCs w:val="24"/>
        </w:rPr>
        <w:t xml:space="preserve"> </w:t>
      </w:r>
      <w:r w:rsidR="000B474F" w:rsidRPr="000B474F">
        <w:rPr>
          <w:rFonts w:ascii="Times New Arabic" w:hAnsi="Times New Arabic"/>
          <w:bCs/>
          <w:sz w:val="24"/>
          <w:szCs w:val="24"/>
        </w:rPr>
        <w:t>prohibition was revealed, the Qur’an also provided an early indication of the effects</w:t>
      </w:r>
      <w:r w:rsidR="00B50F33">
        <w:rPr>
          <w:rFonts w:ascii="Times New Arabic" w:hAnsi="Times New Arabic"/>
          <w:bCs/>
          <w:sz w:val="24"/>
          <w:szCs w:val="24"/>
        </w:rPr>
        <w:t xml:space="preserve"> </w:t>
      </w:r>
      <w:r w:rsidR="000B474F" w:rsidRPr="000B474F">
        <w:rPr>
          <w:rFonts w:ascii="Times New Arabic" w:hAnsi="Times New Arabic"/>
          <w:bCs/>
          <w:sz w:val="24"/>
          <w:szCs w:val="24"/>
        </w:rPr>
        <w:t>of gambling through Surah al-Baqarah, verse 219. I</w:t>
      </w:r>
      <w:r w:rsidR="000B474F">
        <w:rPr>
          <w:rFonts w:ascii="Times New Arabic" w:hAnsi="Times New Arabic"/>
          <w:bCs/>
          <w:sz w:val="24"/>
          <w:szCs w:val="24"/>
        </w:rPr>
        <w:t>n that verse, Allah SWT states:</w:t>
      </w:r>
    </w:p>
    <w:p w14:paraId="2B392AF4" w14:textId="77777777" w:rsidR="009012F2" w:rsidRPr="000B474F" w:rsidRDefault="009012F2" w:rsidP="009012F2">
      <w:pPr>
        <w:spacing w:after="0" w:line="360" w:lineRule="auto"/>
        <w:jc w:val="both"/>
        <w:rPr>
          <w:rFonts w:ascii="Times New Arabic" w:hAnsi="Times New Arabic"/>
          <w:bCs/>
          <w:sz w:val="24"/>
          <w:szCs w:val="24"/>
        </w:rPr>
      </w:pPr>
    </w:p>
    <w:p w14:paraId="4F5F9D61" w14:textId="308D92D5" w:rsidR="000B474F" w:rsidRDefault="000B474F" w:rsidP="009012F2">
      <w:pPr>
        <w:spacing w:after="0" w:line="360" w:lineRule="auto"/>
        <w:jc w:val="both"/>
        <w:rPr>
          <w:rFonts w:ascii="Times New Arabic" w:hAnsi="Times New Arabic"/>
          <w:bCs/>
          <w:i/>
          <w:sz w:val="24"/>
          <w:szCs w:val="24"/>
        </w:rPr>
      </w:pPr>
      <w:r w:rsidRPr="000B474F">
        <w:rPr>
          <w:rFonts w:ascii="Times New Arabic" w:hAnsi="Times New Arabic"/>
          <w:bCs/>
          <w:i/>
          <w:sz w:val="24"/>
          <w:szCs w:val="24"/>
        </w:rPr>
        <w:t>“They ask you (Prophet Muhammad) about intoxicants and gambling. Say, ‘In both there is great sin and some benefit for people. (However), the sin of both is greater than their benefit” (QS. Al-Baqarah 219)</w:t>
      </w:r>
    </w:p>
    <w:p w14:paraId="4CD83CD4" w14:textId="77777777" w:rsidR="002C3956" w:rsidRPr="000B474F" w:rsidRDefault="002C3956" w:rsidP="009012F2">
      <w:pPr>
        <w:spacing w:after="0" w:line="360" w:lineRule="auto"/>
        <w:jc w:val="both"/>
        <w:rPr>
          <w:rFonts w:ascii="Times New Arabic" w:hAnsi="Times New Arabic"/>
          <w:bCs/>
          <w:i/>
          <w:sz w:val="24"/>
          <w:szCs w:val="24"/>
        </w:rPr>
      </w:pPr>
    </w:p>
    <w:p w14:paraId="22258302" w14:textId="1DECE8D7" w:rsidR="000B474F" w:rsidRPr="000B474F" w:rsidRDefault="000B474F" w:rsidP="00B50F33">
      <w:pPr>
        <w:spacing w:after="0" w:line="360" w:lineRule="auto"/>
        <w:ind w:firstLine="567"/>
        <w:jc w:val="both"/>
        <w:rPr>
          <w:rFonts w:ascii="Times New Arabic" w:hAnsi="Times New Arabic"/>
          <w:bCs/>
          <w:sz w:val="24"/>
          <w:szCs w:val="24"/>
        </w:rPr>
      </w:pPr>
      <w:r w:rsidRPr="000B474F">
        <w:rPr>
          <w:rFonts w:ascii="Times New Arabic" w:hAnsi="Times New Arabic"/>
          <w:bCs/>
          <w:sz w:val="24"/>
          <w:szCs w:val="24"/>
        </w:rPr>
        <w:t>According to the Tafsir al-Misbah, the contextual connection (</w:t>
      </w:r>
      <w:r w:rsidRPr="00CE61A4">
        <w:rPr>
          <w:rFonts w:ascii="Times New Arabic" w:hAnsi="Times New Arabic"/>
          <w:bCs/>
          <w:i/>
          <w:iCs/>
          <w:sz w:val="24"/>
          <w:szCs w:val="24"/>
        </w:rPr>
        <w:t>munasabah</w:t>
      </w:r>
      <w:r w:rsidRPr="000B474F">
        <w:rPr>
          <w:rFonts w:ascii="Times New Arabic" w:hAnsi="Times New Arabic"/>
          <w:bCs/>
          <w:sz w:val="24"/>
          <w:szCs w:val="24"/>
        </w:rPr>
        <w:t>) between these two surahs demonstrates a gradual (</w:t>
      </w:r>
      <w:r w:rsidRPr="00CE61A4">
        <w:rPr>
          <w:rFonts w:ascii="Times New Arabic" w:hAnsi="Times New Arabic"/>
          <w:bCs/>
          <w:i/>
          <w:iCs/>
          <w:sz w:val="24"/>
          <w:szCs w:val="24"/>
        </w:rPr>
        <w:t>tadrij</w:t>
      </w:r>
      <w:r w:rsidRPr="000B474F">
        <w:rPr>
          <w:rFonts w:ascii="Times New Arabic" w:hAnsi="Times New Arabic"/>
          <w:bCs/>
          <w:sz w:val="24"/>
          <w:szCs w:val="24"/>
        </w:rPr>
        <w:t xml:space="preserve">) approach to the prohibition of gambling. Surah al-Baqarah, verse 219, serves </w:t>
      </w:r>
      <w:r w:rsidRPr="000B474F">
        <w:rPr>
          <w:rFonts w:ascii="Times New Arabic" w:hAnsi="Times New Arabic"/>
          <w:bCs/>
          <w:sz w:val="24"/>
          <w:szCs w:val="24"/>
        </w:rPr>
        <w:lastRenderedPageBreak/>
        <w:t>as the initial stage to raise public awareness of the moral reality that the harms of gambling far outweigh its benefits. This strategy was intentionally implemented to prepare the mindset of the people of Medina, who were already accustomed to the addiction to alcohol and gambling, before it was finally completely prohibited through Surah al-Maidah v</w:t>
      </w:r>
      <w:r>
        <w:rPr>
          <w:rFonts w:ascii="Times New Arabic" w:hAnsi="Times New Arabic"/>
          <w:bCs/>
          <w:sz w:val="24"/>
          <w:szCs w:val="24"/>
        </w:rPr>
        <w:t>erses 90–91.</w:t>
      </w:r>
      <w:r>
        <w:rPr>
          <w:rStyle w:val="FootnoteReference"/>
          <w:rFonts w:ascii="Times New Arabic" w:hAnsi="Times New Arabic"/>
          <w:bCs/>
          <w:sz w:val="24"/>
          <w:szCs w:val="24"/>
        </w:rPr>
        <w:footnoteReference w:id="36"/>
      </w:r>
      <w:r>
        <w:rPr>
          <w:rFonts w:ascii="Times New Arabic" w:hAnsi="Times New Arabic"/>
          <w:bCs/>
          <w:sz w:val="24"/>
          <w:szCs w:val="24"/>
        </w:rPr>
        <w:t xml:space="preserve"> </w:t>
      </w:r>
      <w:r w:rsidRPr="000B474F">
        <w:rPr>
          <w:rFonts w:ascii="Times New Arabic" w:hAnsi="Times New Arabic"/>
          <w:bCs/>
          <w:sz w:val="24"/>
          <w:szCs w:val="24"/>
        </w:rPr>
        <w:t xml:space="preserve">This gradual prohibition model actually serves as evidence that gambling addiction has a very strong psychological bond that is difficult to break from human beings. This historical fact also explains why </w:t>
      </w:r>
      <w:r w:rsidR="0024003A" w:rsidRPr="0024003A">
        <w:rPr>
          <w:rFonts w:ascii="Times New Arabic" w:hAnsi="Times New Arabic"/>
          <w:bCs/>
          <w:sz w:val="24"/>
          <w:szCs w:val="24"/>
        </w:rPr>
        <w:t>online</w:t>
      </w:r>
      <w:r w:rsidRPr="000B474F">
        <w:rPr>
          <w:rFonts w:ascii="Times New Arabic" w:hAnsi="Times New Arabic"/>
          <w:bCs/>
          <w:sz w:val="24"/>
          <w:szCs w:val="24"/>
        </w:rPr>
        <w:t xml:space="preserve"> gambling in the modern era is so difficult to eradicate, as the addictive effects it produces immediately and fundamentally damage the mindset and mental state of those involved.</w:t>
      </w:r>
    </w:p>
    <w:p w14:paraId="52E14D80" w14:textId="2549FDA5" w:rsidR="00041CB2" w:rsidRDefault="000B474F" w:rsidP="00B50F33">
      <w:pPr>
        <w:spacing w:after="0" w:line="360" w:lineRule="auto"/>
        <w:ind w:firstLine="567"/>
        <w:jc w:val="both"/>
        <w:rPr>
          <w:rFonts w:ascii="Times New Arabic" w:hAnsi="Times New Arabic"/>
          <w:bCs/>
          <w:sz w:val="24"/>
          <w:szCs w:val="24"/>
        </w:rPr>
      </w:pPr>
      <w:r w:rsidRPr="000B474F">
        <w:rPr>
          <w:rFonts w:ascii="Times New Arabic" w:hAnsi="Times New Arabic"/>
          <w:bCs/>
          <w:sz w:val="24"/>
          <w:szCs w:val="24"/>
        </w:rPr>
        <w:t>This prohibition on gambling was also emphasized by the Prophet Muhammad (peace be upon him) in a hadith. He likened those who play dice for stakes to people who dip their hands into the flesh a</w:t>
      </w:r>
      <w:r>
        <w:rPr>
          <w:rFonts w:ascii="Times New Arabic" w:hAnsi="Times New Arabic"/>
          <w:bCs/>
          <w:sz w:val="24"/>
          <w:szCs w:val="24"/>
        </w:rPr>
        <w:t>nd blood of a pig (HR Muslim).</w:t>
      </w:r>
      <w:r>
        <w:rPr>
          <w:rStyle w:val="FootnoteReference"/>
          <w:rFonts w:ascii="Times New Arabic" w:hAnsi="Times New Arabic"/>
          <w:bCs/>
          <w:sz w:val="24"/>
          <w:szCs w:val="24"/>
        </w:rPr>
        <w:footnoteReference w:id="37"/>
      </w:r>
      <w:r w:rsidRPr="000B474F">
        <w:rPr>
          <w:rFonts w:ascii="Times New Arabic" w:hAnsi="Times New Arabic"/>
          <w:bCs/>
          <w:sz w:val="24"/>
          <w:szCs w:val="24"/>
        </w:rPr>
        <w:t xml:space="preserve"> This hadith serves as a strong legal basis that all forms of games, no matter how small, remain prohibited in Islam if they involve an element of betting that leads to gambling (</w:t>
      </w:r>
      <w:r w:rsidR="006313C3" w:rsidRPr="006313C3">
        <w:rPr>
          <w:rFonts w:ascii="Times New Arabic" w:hAnsi="Times New Arabic"/>
          <w:bCs/>
          <w:i/>
          <w:sz w:val="24"/>
          <w:szCs w:val="24"/>
        </w:rPr>
        <w:t>maysir</w:t>
      </w:r>
      <w:r w:rsidRPr="000B474F">
        <w:rPr>
          <w:rFonts w:ascii="Times New Arabic" w:hAnsi="Times New Arabic"/>
          <w:bCs/>
          <w:sz w:val="24"/>
          <w:szCs w:val="24"/>
        </w:rPr>
        <w:t>).</w:t>
      </w:r>
    </w:p>
    <w:p w14:paraId="5782F2B6" w14:textId="62BD70A2" w:rsidR="000B474F" w:rsidRPr="000B474F" w:rsidRDefault="000B474F" w:rsidP="00B50F33">
      <w:pPr>
        <w:spacing w:after="0" w:line="360" w:lineRule="auto"/>
        <w:ind w:firstLine="567"/>
        <w:jc w:val="both"/>
        <w:rPr>
          <w:rFonts w:ascii="Times New Arabic" w:hAnsi="Times New Arabic"/>
          <w:bCs/>
          <w:sz w:val="24"/>
          <w:szCs w:val="24"/>
        </w:rPr>
      </w:pPr>
      <w:r w:rsidRPr="000B474F">
        <w:rPr>
          <w:rFonts w:ascii="Times New Arabic" w:hAnsi="Times New Arabic"/>
          <w:bCs/>
          <w:sz w:val="24"/>
          <w:szCs w:val="24"/>
        </w:rPr>
        <w:t xml:space="preserve">Scholars’ interpretations of the prohibition on gambling in Surah al-Maidah, verses 90–91, encompass various dimensions of understanding. Ibn Kathir explains that the term </w:t>
      </w:r>
      <w:r w:rsidR="006313C3" w:rsidRPr="006313C3">
        <w:rPr>
          <w:rFonts w:ascii="Times New Arabic" w:hAnsi="Times New Arabic"/>
          <w:bCs/>
          <w:i/>
          <w:sz w:val="24"/>
          <w:szCs w:val="24"/>
        </w:rPr>
        <w:t>maysir</w:t>
      </w:r>
      <w:r w:rsidRPr="000B474F">
        <w:rPr>
          <w:rFonts w:ascii="Times New Arabic" w:hAnsi="Times New Arabic"/>
          <w:bCs/>
          <w:sz w:val="24"/>
          <w:szCs w:val="24"/>
        </w:rPr>
        <w:t xml:space="preserve">, or gambling, encompasses all forms of games involving betting, and he emphasizes it as a satanic act that corrupts </w:t>
      </w:r>
      <w:r w:rsidRPr="000B474F">
        <w:rPr>
          <w:rFonts w:ascii="Times New Arabic" w:hAnsi="Times New Arabic"/>
          <w:bCs/>
          <w:sz w:val="24"/>
          <w:szCs w:val="24"/>
        </w:rPr>
        <w:lastRenderedPageBreak/>
        <w:t>faith, erodes wealth, an</w:t>
      </w:r>
      <w:r>
        <w:rPr>
          <w:rFonts w:ascii="Times New Arabic" w:hAnsi="Times New Arabic"/>
          <w:bCs/>
          <w:sz w:val="24"/>
          <w:szCs w:val="24"/>
        </w:rPr>
        <w:t>d fosters enmity among people.</w:t>
      </w:r>
      <w:r>
        <w:rPr>
          <w:rStyle w:val="FootnoteReference"/>
          <w:rFonts w:ascii="Times New Arabic" w:hAnsi="Times New Arabic"/>
          <w:bCs/>
          <w:sz w:val="24"/>
          <w:szCs w:val="24"/>
        </w:rPr>
        <w:footnoteReference w:id="38"/>
      </w:r>
      <w:r w:rsidRPr="000B474F">
        <w:rPr>
          <w:rFonts w:ascii="Times New Arabic" w:hAnsi="Times New Arabic"/>
          <w:bCs/>
          <w:sz w:val="24"/>
          <w:szCs w:val="24"/>
        </w:rPr>
        <w:t xml:space="preserve"> Meanwhile, Sayyid Qutb views this prohibition as divine education to purify society from harmful traditions, as gambling corrupts morality, erodes a sense of responsibility, fosters a culture of instant gratification, and </w:t>
      </w:r>
      <w:r>
        <w:rPr>
          <w:rFonts w:ascii="Times New Arabic" w:hAnsi="Times New Arabic"/>
          <w:bCs/>
          <w:sz w:val="24"/>
          <w:szCs w:val="24"/>
        </w:rPr>
        <w:t>distracts people from worship.</w:t>
      </w:r>
      <w:r>
        <w:rPr>
          <w:rStyle w:val="FootnoteReference"/>
          <w:rFonts w:ascii="Times New Arabic" w:hAnsi="Times New Arabic"/>
          <w:bCs/>
          <w:sz w:val="24"/>
          <w:szCs w:val="24"/>
        </w:rPr>
        <w:footnoteReference w:id="39"/>
      </w:r>
      <w:r w:rsidRPr="000B474F">
        <w:rPr>
          <w:rFonts w:ascii="Times New Arabic" w:hAnsi="Times New Arabic"/>
          <w:bCs/>
          <w:sz w:val="24"/>
          <w:szCs w:val="24"/>
        </w:rPr>
        <w:t xml:space="preserve"> This view aligns with that of Wahbah al-Zuhaili in Tafsir al- Munir, who adds that gambling undermines the social-spiritual order, fuels hatred, and distracts people from their religious obligations such as prayer and remembrance of Allah. Therefore, the prohibition of</w:t>
      </w:r>
      <w:r w:rsidR="00B50F33">
        <w:rPr>
          <w:rFonts w:ascii="Times New Arabic" w:hAnsi="Times New Arabic"/>
          <w:bCs/>
          <w:sz w:val="24"/>
          <w:szCs w:val="24"/>
        </w:rPr>
        <w:t xml:space="preserve"> </w:t>
      </w:r>
      <w:r w:rsidRPr="000B474F">
        <w:rPr>
          <w:rFonts w:ascii="Times New Arabic" w:hAnsi="Times New Arabic"/>
          <w:bCs/>
          <w:sz w:val="24"/>
          <w:szCs w:val="24"/>
        </w:rPr>
        <w:t>serves as a protective barrier for individuals and society against vari</w:t>
      </w:r>
      <w:r>
        <w:rPr>
          <w:rFonts w:ascii="Times New Arabic" w:hAnsi="Times New Arabic"/>
          <w:bCs/>
          <w:sz w:val="24"/>
          <w:szCs w:val="24"/>
        </w:rPr>
        <w:t>ous forms of moral corruption.</w:t>
      </w:r>
      <w:r>
        <w:rPr>
          <w:rStyle w:val="FootnoteReference"/>
          <w:rFonts w:ascii="Times New Arabic" w:hAnsi="Times New Arabic"/>
          <w:bCs/>
          <w:sz w:val="24"/>
          <w:szCs w:val="24"/>
        </w:rPr>
        <w:footnoteReference w:id="40"/>
      </w:r>
    </w:p>
    <w:p w14:paraId="55A61472" w14:textId="6FAC0F1E" w:rsidR="000B474F" w:rsidRPr="000B474F" w:rsidRDefault="000B474F" w:rsidP="00B50F33">
      <w:pPr>
        <w:spacing w:after="0" w:line="360" w:lineRule="auto"/>
        <w:ind w:firstLine="567"/>
        <w:jc w:val="both"/>
        <w:rPr>
          <w:rFonts w:ascii="Times New Arabic" w:hAnsi="Times New Arabic"/>
          <w:bCs/>
          <w:sz w:val="24"/>
          <w:szCs w:val="24"/>
        </w:rPr>
      </w:pPr>
      <w:r w:rsidRPr="000B474F">
        <w:rPr>
          <w:rFonts w:ascii="Times New Arabic" w:hAnsi="Times New Arabic"/>
          <w:bCs/>
          <w:sz w:val="24"/>
          <w:szCs w:val="24"/>
        </w:rPr>
        <w:t xml:space="preserve">On the other hand, M. Quraish Shihab explains the meaning of </w:t>
      </w:r>
      <w:r w:rsidR="006313C3" w:rsidRPr="006313C3">
        <w:rPr>
          <w:rFonts w:ascii="Times New Arabic" w:hAnsi="Times New Arabic"/>
          <w:bCs/>
          <w:i/>
          <w:sz w:val="24"/>
          <w:szCs w:val="24"/>
        </w:rPr>
        <w:t>maysir</w:t>
      </w:r>
      <w:r w:rsidRPr="000B474F">
        <w:rPr>
          <w:rFonts w:ascii="Times New Arabic" w:hAnsi="Times New Arabic"/>
          <w:bCs/>
          <w:sz w:val="24"/>
          <w:szCs w:val="24"/>
        </w:rPr>
        <w:t xml:space="preserve"> as the ease of acquiring wealth, and links this practice to evil customs or pre-Islamic traditions that cause loss, hostility, and hatred. Therefore, this verse commands Muslims to completely avoid gambling to steer clear of mor</w:t>
      </w:r>
      <w:r>
        <w:rPr>
          <w:rFonts w:ascii="Times New Arabic" w:hAnsi="Times New Arabic"/>
          <w:bCs/>
          <w:sz w:val="24"/>
          <w:szCs w:val="24"/>
        </w:rPr>
        <w:t>al, social, and economic ruin.</w:t>
      </w:r>
      <w:r>
        <w:rPr>
          <w:rStyle w:val="FootnoteReference"/>
          <w:rFonts w:ascii="Times New Arabic" w:hAnsi="Times New Arabic"/>
          <w:bCs/>
          <w:sz w:val="24"/>
          <w:szCs w:val="24"/>
        </w:rPr>
        <w:footnoteReference w:id="41"/>
      </w:r>
      <w:r w:rsidRPr="000B474F">
        <w:rPr>
          <w:rFonts w:ascii="Times New Arabic" w:hAnsi="Times New Arabic"/>
          <w:bCs/>
          <w:sz w:val="24"/>
          <w:szCs w:val="24"/>
        </w:rPr>
        <w:t xml:space="preserve"> This is emphasized in the Ministry of Religious Affairs’ Tafsir, which states that although it may seem profitable, the negative impacts of gambling far outweigh the material gains. Thus, any form </w:t>
      </w:r>
      <w:r w:rsidRPr="000B474F">
        <w:rPr>
          <w:rFonts w:ascii="Times New Arabic" w:hAnsi="Times New Arabic"/>
          <w:bCs/>
          <w:sz w:val="24"/>
          <w:szCs w:val="24"/>
        </w:rPr>
        <w:lastRenderedPageBreak/>
        <w:t>of legalization will not nullify its prohibition because it contradict</w:t>
      </w:r>
      <w:r>
        <w:rPr>
          <w:rFonts w:ascii="Times New Arabic" w:hAnsi="Times New Arabic"/>
          <w:bCs/>
          <w:sz w:val="24"/>
          <w:szCs w:val="24"/>
        </w:rPr>
        <w:t>s the teachings of the Qur’an.</w:t>
      </w:r>
      <w:r>
        <w:rPr>
          <w:rStyle w:val="FootnoteReference"/>
          <w:rFonts w:ascii="Times New Arabic" w:hAnsi="Times New Arabic"/>
          <w:bCs/>
          <w:sz w:val="24"/>
          <w:szCs w:val="24"/>
        </w:rPr>
        <w:footnoteReference w:id="42"/>
      </w:r>
    </w:p>
    <w:p w14:paraId="5A5E0D47" w14:textId="26698CBB" w:rsidR="00D93C26" w:rsidRDefault="000B474F" w:rsidP="00B50F33">
      <w:pPr>
        <w:spacing w:after="0" w:line="360" w:lineRule="auto"/>
        <w:ind w:firstLine="567"/>
        <w:jc w:val="both"/>
        <w:rPr>
          <w:rFonts w:ascii="Times New Arabic" w:hAnsi="Times New Arabic"/>
          <w:bCs/>
          <w:sz w:val="24"/>
          <w:szCs w:val="24"/>
        </w:rPr>
      </w:pPr>
      <w:r w:rsidRPr="000B474F">
        <w:rPr>
          <w:rFonts w:ascii="Times New Arabic" w:hAnsi="Times New Arabic"/>
          <w:bCs/>
          <w:sz w:val="24"/>
          <w:szCs w:val="24"/>
        </w:rPr>
        <w:t>The interpretations of these scholars demonstrate that the effects of gambling are not felt solely by the individual gambler but can also impact family life. The loss</w:t>
      </w:r>
      <w:r>
        <w:rPr>
          <w:rFonts w:ascii="Times New Arabic" w:hAnsi="Times New Arabic"/>
          <w:bCs/>
          <w:sz w:val="24"/>
          <w:szCs w:val="24"/>
        </w:rPr>
        <w:t xml:space="preserve"> </w:t>
      </w:r>
      <w:r w:rsidR="00D93C26" w:rsidRPr="00D93C26">
        <w:rPr>
          <w:rFonts w:ascii="Times New Arabic" w:hAnsi="Times New Arabic"/>
          <w:bCs/>
          <w:sz w:val="24"/>
          <w:szCs w:val="24"/>
        </w:rPr>
        <w:t xml:space="preserve">of wealth due to gambling automatically disrupts the fulfillment of household needs, while the conflicts and arguments that arise have the potential to damage the harmony of family relationships. Furthermore, the habit of gambling can cause one to neglect remembrance of God and prayer, as emphasized in Surah al-Ma’idah, verse 91, thereby gradually weakening the internalization of religious values within the family. Therefore, the prohibition of gambling in the Qur’an is not only intended to prevent forbidden acts but also serves as a preventive measure to safeguard family unity from various negative impacts that can undermine economic, social, and spiritual foundations, including the real threats arising from </w:t>
      </w:r>
      <w:r w:rsidR="0024003A" w:rsidRPr="0024003A">
        <w:rPr>
          <w:rFonts w:ascii="Times New Arabic" w:hAnsi="Times New Arabic"/>
          <w:bCs/>
          <w:sz w:val="24"/>
          <w:szCs w:val="24"/>
        </w:rPr>
        <w:t>online</w:t>
      </w:r>
      <w:r w:rsidR="00D93C26" w:rsidRPr="00D93C26">
        <w:rPr>
          <w:rFonts w:ascii="Times New Arabic" w:hAnsi="Times New Arabic"/>
          <w:bCs/>
          <w:sz w:val="24"/>
          <w:szCs w:val="24"/>
        </w:rPr>
        <w:t xml:space="preserve"> gamblin</w:t>
      </w:r>
      <w:r w:rsidR="00D93C26">
        <w:rPr>
          <w:rFonts w:ascii="Times New Arabic" w:hAnsi="Times New Arabic"/>
          <w:bCs/>
          <w:sz w:val="24"/>
          <w:szCs w:val="24"/>
        </w:rPr>
        <w:t>g practices in the digital age.</w:t>
      </w:r>
    </w:p>
    <w:p w14:paraId="1EA277AB" w14:textId="77777777" w:rsidR="002C3956" w:rsidRPr="00D93C26" w:rsidRDefault="002C3956" w:rsidP="009012F2">
      <w:pPr>
        <w:spacing w:after="0" w:line="360" w:lineRule="auto"/>
        <w:jc w:val="both"/>
        <w:rPr>
          <w:rFonts w:ascii="Times New Arabic" w:hAnsi="Times New Arabic"/>
          <w:bCs/>
          <w:sz w:val="24"/>
          <w:szCs w:val="24"/>
        </w:rPr>
      </w:pPr>
    </w:p>
    <w:p w14:paraId="05567A68" w14:textId="0F9857CD" w:rsidR="00D93C26" w:rsidRPr="00D93C26" w:rsidRDefault="00D93C26" w:rsidP="009012F2">
      <w:pPr>
        <w:pStyle w:val="ListParagraph"/>
        <w:numPr>
          <w:ilvl w:val="0"/>
          <w:numId w:val="28"/>
        </w:numPr>
        <w:spacing w:after="0" w:line="360" w:lineRule="auto"/>
        <w:jc w:val="both"/>
        <w:rPr>
          <w:rFonts w:ascii="Times New Arabic" w:hAnsi="Times New Arabic"/>
          <w:b/>
          <w:bCs/>
          <w:sz w:val="24"/>
          <w:szCs w:val="24"/>
        </w:rPr>
      </w:pPr>
      <w:r w:rsidRPr="00D93C26">
        <w:rPr>
          <w:rFonts w:ascii="Times New Arabic" w:hAnsi="Times New Arabic"/>
          <w:b/>
          <w:bCs/>
          <w:sz w:val="24"/>
          <w:szCs w:val="24"/>
        </w:rPr>
        <w:t xml:space="preserve">The Qur’an’s Solutions for Addressing </w:t>
      </w:r>
      <w:r w:rsidR="0024003A" w:rsidRPr="0024003A">
        <w:rPr>
          <w:rFonts w:ascii="Times New Arabic" w:hAnsi="Times New Arabic"/>
          <w:b/>
          <w:bCs/>
          <w:sz w:val="24"/>
          <w:szCs w:val="24"/>
        </w:rPr>
        <w:t>Online</w:t>
      </w:r>
      <w:r w:rsidRPr="00D93C26">
        <w:rPr>
          <w:rFonts w:ascii="Times New Arabic" w:hAnsi="Times New Arabic"/>
          <w:b/>
          <w:bCs/>
          <w:sz w:val="24"/>
          <w:szCs w:val="24"/>
        </w:rPr>
        <w:t xml:space="preserve"> Gambling and Preserving Family Resilience</w:t>
      </w:r>
    </w:p>
    <w:p w14:paraId="376176AF" w14:textId="0AECF2BF" w:rsidR="00D93C26" w:rsidRDefault="00D93C26" w:rsidP="00B50F33">
      <w:pPr>
        <w:spacing w:after="0" w:line="360" w:lineRule="auto"/>
        <w:ind w:firstLine="567"/>
        <w:jc w:val="both"/>
        <w:rPr>
          <w:rFonts w:ascii="Times New Arabic" w:hAnsi="Times New Arabic"/>
          <w:bCs/>
          <w:sz w:val="24"/>
          <w:szCs w:val="24"/>
        </w:rPr>
      </w:pPr>
      <w:r w:rsidRPr="00D93C26">
        <w:rPr>
          <w:rFonts w:ascii="Times New Arabic" w:hAnsi="Times New Arabic"/>
          <w:bCs/>
          <w:sz w:val="24"/>
          <w:szCs w:val="24"/>
        </w:rPr>
        <w:t xml:space="preserve">In the face of the rampant spread of </w:t>
      </w:r>
      <w:r w:rsidR="0024003A" w:rsidRPr="0024003A">
        <w:rPr>
          <w:rFonts w:ascii="Times New Arabic" w:hAnsi="Times New Arabic"/>
          <w:bCs/>
          <w:sz w:val="24"/>
          <w:szCs w:val="24"/>
        </w:rPr>
        <w:t>online</w:t>
      </w:r>
      <w:r w:rsidRPr="00D93C26">
        <w:rPr>
          <w:rFonts w:ascii="Times New Arabic" w:hAnsi="Times New Arabic"/>
          <w:bCs/>
          <w:sz w:val="24"/>
          <w:szCs w:val="24"/>
        </w:rPr>
        <w:t xml:space="preserve"> gambling that threatens family resilience, the Qur’an offers comprehensive guidance. The Qur’an not only prohibits all forms of gambling but also provides practical solutions to safeguard family resilience and protect future generations from its negative consequences. The Qur’an stands as an alternative solution and a relevant </w:t>
      </w:r>
      <w:r w:rsidRPr="00D93C26">
        <w:rPr>
          <w:rFonts w:ascii="Times New Arabic" w:hAnsi="Times New Arabic"/>
          <w:bCs/>
          <w:sz w:val="24"/>
          <w:szCs w:val="24"/>
        </w:rPr>
        <w:lastRenderedPageBreak/>
        <w:t>enlightening concept for addressing various national issue</w:t>
      </w:r>
      <w:r>
        <w:rPr>
          <w:rFonts w:ascii="Times New Arabic" w:hAnsi="Times New Arabic"/>
          <w:bCs/>
          <w:sz w:val="24"/>
          <w:szCs w:val="24"/>
        </w:rPr>
        <w:t>s in the contemporary context.</w:t>
      </w:r>
      <w:r>
        <w:rPr>
          <w:rStyle w:val="FootnoteReference"/>
          <w:rFonts w:ascii="Times New Arabic" w:hAnsi="Times New Arabic"/>
          <w:bCs/>
          <w:sz w:val="24"/>
          <w:szCs w:val="24"/>
        </w:rPr>
        <w:footnoteReference w:id="43"/>
      </w:r>
      <w:r w:rsidRPr="00D93C26">
        <w:rPr>
          <w:rFonts w:ascii="Times New Arabic" w:hAnsi="Times New Arabic"/>
          <w:bCs/>
          <w:sz w:val="24"/>
          <w:szCs w:val="24"/>
        </w:rPr>
        <w:t xml:space="preserve"> Based on the values of the Qur’an, there are several strategic steps that can be implemented to address this issue while strengthening the pillars of family resilience</w:t>
      </w:r>
      <w:r>
        <w:rPr>
          <w:rFonts w:ascii="Times New Arabic" w:hAnsi="Times New Arabic"/>
          <w:bCs/>
          <w:sz w:val="24"/>
          <w:szCs w:val="24"/>
        </w:rPr>
        <w:t xml:space="preserve"> in the digital age, including:</w:t>
      </w:r>
    </w:p>
    <w:p w14:paraId="59D5AF1D" w14:textId="77777777" w:rsidR="002C3956" w:rsidRPr="00D93C26" w:rsidRDefault="002C3956" w:rsidP="009012F2">
      <w:pPr>
        <w:spacing w:after="0" w:line="360" w:lineRule="auto"/>
        <w:jc w:val="both"/>
        <w:rPr>
          <w:rFonts w:ascii="Times New Arabic" w:hAnsi="Times New Arabic"/>
          <w:bCs/>
          <w:sz w:val="24"/>
          <w:szCs w:val="24"/>
        </w:rPr>
      </w:pPr>
    </w:p>
    <w:p w14:paraId="7E5E64F1" w14:textId="77777777" w:rsidR="00D93C26" w:rsidRPr="00B50F33" w:rsidRDefault="00D93C26" w:rsidP="00B50F33">
      <w:pPr>
        <w:pStyle w:val="ListParagraph"/>
        <w:numPr>
          <w:ilvl w:val="0"/>
          <w:numId w:val="31"/>
        </w:numPr>
        <w:spacing w:after="0" w:line="360" w:lineRule="auto"/>
        <w:jc w:val="both"/>
        <w:rPr>
          <w:rFonts w:ascii="Times New Arabic" w:hAnsi="Times New Arabic"/>
          <w:bCs/>
          <w:sz w:val="24"/>
          <w:szCs w:val="24"/>
        </w:rPr>
      </w:pPr>
      <w:r w:rsidRPr="00B50F33">
        <w:rPr>
          <w:rFonts w:ascii="Times New Arabic" w:hAnsi="Times New Arabic"/>
          <w:bCs/>
          <w:sz w:val="24"/>
          <w:szCs w:val="24"/>
        </w:rPr>
        <w:t>Strengthening Spiritual-Psychological Resilience (Q.S. at-Tahrim verse 6)</w:t>
      </w:r>
    </w:p>
    <w:p w14:paraId="71B66694" w14:textId="2DBFE88F" w:rsidR="00D93C26" w:rsidRPr="00D93C26" w:rsidRDefault="00D93C26" w:rsidP="00B50F33">
      <w:pPr>
        <w:spacing w:after="0" w:line="360" w:lineRule="auto"/>
        <w:ind w:firstLine="567"/>
        <w:jc w:val="both"/>
        <w:rPr>
          <w:rFonts w:ascii="Times New Arabic" w:hAnsi="Times New Arabic"/>
          <w:bCs/>
          <w:sz w:val="24"/>
          <w:szCs w:val="24"/>
        </w:rPr>
      </w:pPr>
      <w:r w:rsidRPr="00D93C26">
        <w:rPr>
          <w:rFonts w:ascii="Times New Arabic" w:hAnsi="Times New Arabic"/>
          <w:bCs/>
          <w:sz w:val="24"/>
          <w:szCs w:val="24"/>
        </w:rPr>
        <w:t>The family is the primary fortress that must be protected from all forms of threats capable of undermining domestic resilience and harmony. In this regard, Allah SWT states in Surah at-Tahrim, verse 6, reminding the faithful to protect themselves</w:t>
      </w:r>
      <w:r>
        <w:rPr>
          <w:rFonts w:ascii="Times New Arabic" w:hAnsi="Times New Arabic"/>
          <w:bCs/>
          <w:sz w:val="24"/>
          <w:szCs w:val="24"/>
        </w:rPr>
        <w:t xml:space="preserve"> </w:t>
      </w:r>
      <w:r w:rsidRPr="00D93C26">
        <w:rPr>
          <w:rFonts w:ascii="Times New Arabic" w:hAnsi="Times New Arabic"/>
          <w:bCs/>
          <w:sz w:val="24"/>
          <w:szCs w:val="24"/>
        </w:rPr>
        <w:t xml:space="preserve">and their families from the fire of Hell by obeying His commands </w:t>
      </w:r>
      <w:r>
        <w:rPr>
          <w:rFonts w:ascii="Times New Arabic" w:hAnsi="Times New Arabic"/>
          <w:bCs/>
          <w:sz w:val="24"/>
          <w:szCs w:val="24"/>
        </w:rPr>
        <w:t>and avoiding His prohibitions.</w:t>
      </w:r>
      <w:r>
        <w:rPr>
          <w:rStyle w:val="FootnoteReference"/>
          <w:rFonts w:ascii="Times New Arabic" w:hAnsi="Times New Arabic"/>
          <w:bCs/>
          <w:sz w:val="24"/>
          <w:szCs w:val="24"/>
        </w:rPr>
        <w:footnoteReference w:id="44"/>
      </w:r>
      <w:r w:rsidRPr="00D93C26">
        <w:rPr>
          <w:rFonts w:ascii="Times New Arabic" w:hAnsi="Times New Arabic"/>
          <w:bCs/>
          <w:sz w:val="24"/>
          <w:szCs w:val="24"/>
        </w:rPr>
        <w:t xml:space="preserve"> This verse emphasizes the moral responsibility of every head of household and family member to protect one another from various destructive behaviors that can lead to ruin, including the practice of </w:t>
      </w:r>
      <w:r w:rsidR="0024003A" w:rsidRPr="0024003A">
        <w:rPr>
          <w:rFonts w:ascii="Times New Arabic" w:hAnsi="Times New Arabic"/>
          <w:bCs/>
          <w:sz w:val="24"/>
          <w:szCs w:val="24"/>
        </w:rPr>
        <w:t>online</w:t>
      </w:r>
      <w:r w:rsidRPr="00D93C26">
        <w:rPr>
          <w:rFonts w:ascii="Times New Arabic" w:hAnsi="Times New Arabic"/>
          <w:bCs/>
          <w:sz w:val="24"/>
          <w:szCs w:val="24"/>
        </w:rPr>
        <w:t xml:space="preserve"> gambling.</w:t>
      </w:r>
    </w:p>
    <w:p w14:paraId="7D8A32F9" w14:textId="065CCD92" w:rsidR="00D93C26" w:rsidRPr="00D93C26" w:rsidRDefault="0024003A" w:rsidP="00B50F33">
      <w:pPr>
        <w:spacing w:after="0" w:line="360" w:lineRule="auto"/>
        <w:ind w:firstLine="567"/>
        <w:jc w:val="both"/>
        <w:rPr>
          <w:rFonts w:ascii="Times New Arabic" w:hAnsi="Times New Arabic"/>
          <w:bCs/>
          <w:sz w:val="24"/>
          <w:szCs w:val="24"/>
        </w:rPr>
      </w:pPr>
      <w:r w:rsidRPr="0024003A">
        <w:rPr>
          <w:rFonts w:ascii="Times New Arabic" w:hAnsi="Times New Arabic"/>
          <w:bCs/>
          <w:sz w:val="24"/>
          <w:szCs w:val="24"/>
        </w:rPr>
        <w:t>Online</w:t>
      </w:r>
      <w:r w:rsidR="00D93C26" w:rsidRPr="00D93C26">
        <w:rPr>
          <w:rFonts w:ascii="Times New Arabic" w:hAnsi="Times New Arabic"/>
          <w:bCs/>
          <w:sz w:val="24"/>
          <w:szCs w:val="24"/>
        </w:rPr>
        <w:t xml:space="preserve"> gambling significantly impacts mental health by triggering excessive anxiety, stress, impaired emotional control, and psychological burdens such as feelings of guilt that gradually distance individuals from religious values. This mental distress ultimately extends to the stability of the household, leading to irritability and disrupting emoti</w:t>
      </w:r>
      <w:r w:rsidR="00D93C26">
        <w:rPr>
          <w:rFonts w:ascii="Times New Arabic" w:hAnsi="Times New Arabic"/>
          <w:bCs/>
          <w:sz w:val="24"/>
          <w:szCs w:val="24"/>
        </w:rPr>
        <w:t xml:space="preserve">onal harmony between </w:t>
      </w:r>
      <w:r w:rsidR="00D93C26">
        <w:rPr>
          <w:rFonts w:ascii="Times New Arabic" w:hAnsi="Times New Arabic"/>
          <w:bCs/>
          <w:sz w:val="24"/>
          <w:szCs w:val="24"/>
        </w:rPr>
        <w:lastRenderedPageBreak/>
        <w:t>partners.</w:t>
      </w:r>
      <w:r w:rsidR="00D93C26">
        <w:rPr>
          <w:rStyle w:val="FootnoteReference"/>
          <w:rFonts w:ascii="Times New Arabic" w:hAnsi="Times New Arabic"/>
          <w:bCs/>
          <w:sz w:val="24"/>
          <w:szCs w:val="24"/>
        </w:rPr>
        <w:footnoteReference w:id="45"/>
      </w:r>
      <w:r w:rsidR="00D93C26" w:rsidRPr="00D93C26">
        <w:rPr>
          <w:rFonts w:ascii="Times New Arabic" w:hAnsi="Times New Arabic"/>
          <w:bCs/>
          <w:sz w:val="24"/>
          <w:szCs w:val="24"/>
        </w:rPr>
        <w:t xml:space="preserve"> The urgency of strengthening religiosity within the family as a preventive measure against </w:t>
      </w:r>
      <w:r w:rsidRPr="0024003A">
        <w:rPr>
          <w:rFonts w:ascii="Times New Arabic" w:hAnsi="Times New Arabic"/>
          <w:bCs/>
          <w:sz w:val="24"/>
          <w:szCs w:val="24"/>
        </w:rPr>
        <w:t>online</w:t>
      </w:r>
      <w:r w:rsidR="00D93C26" w:rsidRPr="00D93C26">
        <w:rPr>
          <w:rFonts w:ascii="Times New Arabic" w:hAnsi="Times New Arabic"/>
          <w:bCs/>
          <w:sz w:val="24"/>
          <w:szCs w:val="24"/>
        </w:rPr>
        <w:t xml:space="preserve"> gambling aligns with various research findings indicating that religiosity has a significant negative correlation with problem gambling behavior. Active participation in religious activities and traditions is known to reduce the likelihood of someone engaging in gambling, as religiosity plays a role in shaping moral values regardin</w:t>
      </w:r>
      <w:r w:rsidR="00D93C26">
        <w:rPr>
          <w:rFonts w:ascii="Times New Arabic" w:hAnsi="Times New Arabic"/>
          <w:bCs/>
          <w:sz w:val="24"/>
          <w:szCs w:val="24"/>
        </w:rPr>
        <w:t>g risky behavior.</w:t>
      </w:r>
      <w:r w:rsidR="00D93C26">
        <w:rPr>
          <w:rStyle w:val="FootnoteReference"/>
          <w:rFonts w:ascii="Times New Arabic" w:hAnsi="Times New Arabic"/>
          <w:bCs/>
          <w:sz w:val="24"/>
          <w:szCs w:val="24"/>
        </w:rPr>
        <w:footnoteReference w:id="46"/>
      </w:r>
    </w:p>
    <w:p w14:paraId="76B3915C" w14:textId="7D43DCD2" w:rsidR="004923A8" w:rsidRDefault="00D93C26" w:rsidP="00B50F33">
      <w:pPr>
        <w:spacing w:after="0" w:line="360" w:lineRule="auto"/>
        <w:ind w:firstLine="567"/>
        <w:jc w:val="both"/>
        <w:rPr>
          <w:rFonts w:ascii="Times New Arabic" w:hAnsi="Times New Arabic"/>
          <w:bCs/>
          <w:sz w:val="24"/>
          <w:szCs w:val="24"/>
        </w:rPr>
      </w:pPr>
      <w:r w:rsidRPr="00D93C26">
        <w:rPr>
          <w:rFonts w:ascii="Times New Arabic" w:hAnsi="Times New Arabic"/>
          <w:bCs/>
          <w:sz w:val="24"/>
          <w:szCs w:val="24"/>
        </w:rPr>
        <w:t xml:space="preserve">Therefore, religiosity needs to be deeply internalized within the family environment as it can foster self-control and mental resilience among family members against risky behaviors, including </w:t>
      </w:r>
      <w:r w:rsidR="0024003A" w:rsidRPr="0024003A">
        <w:rPr>
          <w:rFonts w:ascii="Times New Arabic" w:hAnsi="Times New Arabic"/>
          <w:bCs/>
          <w:sz w:val="24"/>
          <w:szCs w:val="24"/>
        </w:rPr>
        <w:t>online</w:t>
      </w:r>
      <w:r w:rsidRPr="00D93C26">
        <w:rPr>
          <w:rFonts w:ascii="Times New Arabic" w:hAnsi="Times New Arabic"/>
          <w:bCs/>
          <w:sz w:val="24"/>
          <w:szCs w:val="24"/>
        </w:rPr>
        <w:t xml:space="preserve"> gambling. This strengthening can be achieved through the practice of joint worship, recitation of the Qur</w:t>
      </w:r>
      <w:r w:rsidR="00734AE1">
        <w:rPr>
          <w:rFonts w:ascii="Times New Arabic" w:hAnsi="Times New Arabic"/>
          <w:bCs/>
          <w:sz w:val="24"/>
          <w:szCs w:val="24"/>
        </w:rPr>
        <w:t>’</w:t>
      </w:r>
      <w:r w:rsidRPr="00D93C26">
        <w:rPr>
          <w:rFonts w:ascii="Times New Arabic" w:hAnsi="Times New Arabic"/>
          <w:bCs/>
          <w:sz w:val="24"/>
          <w:szCs w:val="24"/>
        </w:rPr>
        <w:t>an, remembrance of God (</w:t>
      </w:r>
      <w:r w:rsidRPr="0021000D">
        <w:rPr>
          <w:rFonts w:ascii="Times New Arabic" w:hAnsi="Times New Arabic"/>
          <w:bCs/>
          <w:i/>
          <w:iCs/>
          <w:sz w:val="24"/>
          <w:szCs w:val="24"/>
        </w:rPr>
        <w:t>zikir</w:t>
      </w:r>
      <w:r w:rsidRPr="00D93C26">
        <w:rPr>
          <w:rFonts w:ascii="Times New Arabic" w:hAnsi="Times New Arabic"/>
          <w:bCs/>
          <w:sz w:val="24"/>
          <w:szCs w:val="24"/>
        </w:rPr>
        <w:t>), prayer, and continuous moral education. In addition, every family member needs to build close emotional bonds through open and mutually supportive communication. Thus, the family can become a comfortable, religious, and peaceful</w:t>
      </w:r>
      <w:r w:rsidR="004923A8">
        <w:rPr>
          <w:rFonts w:ascii="Times New Arabic" w:hAnsi="Times New Arabic"/>
          <w:bCs/>
          <w:sz w:val="24"/>
          <w:szCs w:val="24"/>
        </w:rPr>
        <w:t xml:space="preserve"> </w:t>
      </w:r>
      <w:r w:rsidR="004923A8" w:rsidRPr="004923A8">
        <w:rPr>
          <w:rFonts w:ascii="Times New Arabic" w:hAnsi="Times New Arabic"/>
          <w:bCs/>
          <w:sz w:val="24"/>
          <w:szCs w:val="24"/>
        </w:rPr>
        <w:t>environment so that family members do not easily fall into the practice of</w:t>
      </w:r>
      <w:r w:rsidR="004923A8">
        <w:rPr>
          <w:rFonts w:ascii="Times New Arabic" w:hAnsi="Times New Arabic"/>
          <w:bCs/>
          <w:sz w:val="24"/>
          <w:szCs w:val="24"/>
        </w:rPr>
        <w:t xml:space="preserve"> </w:t>
      </w:r>
      <w:r w:rsidR="0024003A" w:rsidRPr="0024003A">
        <w:rPr>
          <w:rFonts w:ascii="Times New Arabic" w:hAnsi="Times New Arabic"/>
          <w:bCs/>
          <w:sz w:val="24"/>
          <w:szCs w:val="24"/>
        </w:rPr>
        <w:t>online</w:t>
      </w:r>
      <w:r w:rsidR="004923A8">
        <w:rPr>
          <w:rFonts w:ascii="Times New Arabic" w:hAnsi="Times New Arabic"/>
          <w:bCs/>
          <w:sz w:val="24"/>
          <w:szCs w:val="24"/>
        </w:rPr>
        <w:t xml:space="preserve"> </w:t>
      </w:r>
      <w:r w:rsidR="004923A8" w:rsidRPr="004923A8">
        <w:rPr>
          <w:rFonts w:ascii="Times New Arabic" w:hAnsi="Times New Arabic"/>
          <w:bCs/>
          <w:sz w:val="24"/>
          <w:szCs w:val="24"/>
        </w:rPr>
        <w:t>gambling as an escape fr</w:t>
      </w:r>
      <w:r w:rsidR="004923A8">
        <w:rPr>
          <w:rFonts w:ascii="Times New Arabic" w:hAnsi="Times New Arabic"/>
          <w:bCs/>
          <w:sz w:val="24"/>
          <w:szCs w:val="24"/>
        </w:rPr>
        <w:t>om the pressures of daily life.</w:t>
      </w:r>
    </w:p>
    <w:p w14:paraId="75ABDD20" w14:textId="77777777" w:rsidR="002C3956" w:rsidRPr="004923A8" w:rsidRDefault="002C3956" w:rsidP="009012F2">
      <w:pPr>
        <w:spacing w:after="0" w:line="360" w:lineRule="auto"/>
        <w:jc w:val="both"/>
        <w:rPr>
          <w:rFonts w:ascii="Times New Arabic" w:hAnsi="Times New Arabic"/>
          <w:bCs/>
          <w:sz w:val="24"/>
          <w:szCs w:val="24"/>
        </w:rPr>
      </w:pPr>
    </w:p>
    <w:p w14:paraId="61DC79C5" w14:textId="4291F122" w:rsidR="004923A8" w:rsidRPr="00B50F33" w:rsidRDefault="004923A8" w:rsidP="00B50F33">
      <w:pPr>
        <w:pStyle w:val="ListParagraph"/>
        <w:numPr>
          <w:ilvl w:val="0"/>
          <w:numId w:val="31"/>
        </w:numPr>
        <w:spacing w:after="0" w:line="360" w:lineRule="auto"/>
        <w:jc w:val="both"/>
        <w:rPr>
          <w:rFonts w:ascii="Times New Arabic" w:hAnsi="Times New Arabic"/>
          <w:bCs/>
          <w:sz w:val="24"/>
          <w:szCs w:val="24"/>
        </w:rPr>
      </w:pPr>
      <w:r w:rsidRPr="00B50F33">
        <w:rPr>
          <w:rFonts w:ascii="Times New Arabic" w:hAnsi="Times New Arabic"/>
          <w:bCs/>
          <w:sz w:val="24"/>
          <w:szCs w:val="24"/>
        </w:rPr>
        <w:t>Maintaining the Legality of Livelihood for Economic Resilience (Q.S. al-Baqarah 168)</w:t>
      </w:r>
    </w:p>
    <w:p w14:paraId="62386470" w14:textId="65A45BF5" w:rsidR="004923A8" w:rsidRPr="004923A8" w:rsidRDefault="004923A8" w:rsidP="00B50F33">
      <w:pPr>
        <w:spacing w:after="0" w:line="360" w:lineRule="auto"/>
        <w:ind w:firstLine="567"/>
        <w:jc w:val="both"/>
        <w:rPr>
          <w:rFonts w:ascii="Times New Arabic" w:hAnsi="Times New Arabic"/>
          <w:bCs/>
          <w:sz w:val="24"/>
          <w:szCs w:val="24"/>
        </w:rPr>
      </w:pPr>
      <w:r w:rsidRPr="004923A8">
        <w:rPr>
          <w:rFonts w:ascii="Times New Arabic" w:hAnsi="Times New Arabic"/>
          <w:bCs/>
          <w:sz w:val="24"/>
          <w:szCs w:val="24"/>
        </w:rPr>
        <w:t xml:space="preserve">Halal sustenance is a crucial foundation for the blessings of life and family resilience. Islam explicitly commands its followers to work and strive </w:t>
      </w:r>
      <w:r w:rsidRPr="004923A8">
        <w:rPr>
          <w:rFonts w:ascii="Times New Arabic" w:hAnsi="Times New Arabic"/>
          <w:bCs/>
          <w:sz w:val="24"/>
          <w:szCs w:val="24"/>
        </w:rPr>
        <w:lastRenderedPageBreak/>
        <w:t xml:space="preserve">honestly and prohibits acquiring wealth through invalid means, including harmful </w:t>
      </w:r>
      <w:r w:rsidR="0024003A" w:rsidRPr="0024003A">
        <w:rPr>
          <w:rFonts w:ascii="Times New Arabic" w:hAnsi="Times New Arabic"/>
          <w:bCs/>
          <w:sz w:val="24"/>
          <w:szCs w:val="24"/>
        </w:rPr>
        <w:t>online</w:t>
      </w:r>
      <w:r w:rsidRPr="004923A8">
        <w:rPr>
          <w:rFonts w:ascii="Times New Arabic" w:hAnsi="Times New Arabic"/>
          <w:bCs/>
          <w:sz w:val="24"/>
          <w:szCs w:val="24"/>
        </w:rPr>
        <w:t xml:space="preserve"> gambling practices. Allah SWT reaffirms this command in Surah al-Baqarah verse 168, where He commands His servants to seek sustenance through lawful means and forbids acquiring wealth in ways that </w:t>
      </w:r>
      <w:r>
        <w:rPr>
          <w:rFonts w:ascii="Times New Arabic" w:hAnsi="Times New Arabic"/>
          <w:bCs/>
          <w:sz w:val="24"/>
          <w:szCs w:val="24"/>
        </w:rPr>
        <w:t>do not comply with Sharia law.</w:t>
      </w:r>
      <w:r>
        <w:rPr>
          <w:rStyle w:val="FootnoteReference"/>
          <w:rFonts w:ascii="Times New Arabic" w:hAnsi="Times New Arabic"/>
          <w:bCs/>
          <w:sz w:val="24"/>
          <w:szCs w:val="24"/>
        </w:rPr>
        <w:footnoteReference w:id="47"/>
      </w:r>
    </w:p>
    <w:p w14:paraId="28720FC7" w14:textId="6224EF00" w:rsidR="004923A8" w:rsidRPr="004923A8" w:rsidRDefault="0024003A" w:rsidP="00B50F33">
      <w:pPr>
        <w:spacing w:after="0" w:line="360" w:lineRule="auto"/>
        <w:ind w:firstLine="567"/>
        <w:jc w:val="both"/>
        <w:rPr>
          <w:rFonts w:ascii="Times New Arabic" w:hAnsi="Times New Arabic"/>
          <w:bCs/>
          <w:sz w:val="24"/>
          <w:szCs w:val="24"/>
        </w:rPr>
      </w:pPr>
      <w:r w:rsidRPr="0024003A">
        <w:rPr>
          <w:rFonts w:ascii="Times New Arabic" w:hAnsi="Times New Arabic"/>
          <w:bCs/>
          <w:sz w:val="24"/>
          <w:szCs w:val="24"/>
        </w:rPr>
        <w:t>Online</w:t>
      </w:r>
      <w:r w:rsidR="004923A8" w:rsidRPr="004923A8">
        <w:rPr>
          <w:rFonts w:ascii="Times New Arabic" w:hAnsi="Times New Arabic"/>
          <w:bCs/>
          <w:sz w:val="24"/>
          <w:szCs w:val="24"/>
        </w:rPr>
        <w:t xml:space="preserve"> gambling undermines the integrity of earning a living because it offers the illusion of instant wealth. This drives participants to justify </w:t>
      </w:r>
      <w:r w:rsidR="004923A8">
        <w:rPr>
          <w:rFonts w:ascii="Times New Arabic" w:hAnsi="Times New Arabic"/>
          <w:bCs/>
          <w:sz w:val="24"/>
          <w:szCs w:val="24"/>
        </w:rPr>
        <w:t>any means,</w:t>
      </w:r>
      <w:r w:rsidR="004923A8">
        <w:rPr>
          <w:rStyle w:val="FootnoteReference"/>
          <w:rFonts w:ascii="Times New Arabic" w:hAnsi="Times New Arabic"/>
          <w:bCs/>
          <w:sz w:val="24"/>
          <w:szCs w:val="24"/>
        </w:rPr>
        <w:footnoteReference w:id="48"/>
      </w:r>
      <w:r w:rsidR="004923A8" w:rsidRPr="004923A8">
        <w:rPr>
          <w:rFonts w:ascii="Times New Arabic" w:hAnsi="Times New Arabic"/>
          <w:bCs/>
          <w:sz w:val="24"/>
          <w:szCs w:val="24"/>
        </w:rPr>
        <w:t xml:space="preserve"> including chronic decept</w:t>
      </w:r>
      <w:r w:rsidR="004923A8">
        <w:rPr>
          <w:rFonts w:ascii="Times New Arabic" w:hAnsi="Times New Arabic"/>
          <w:bCs/>
          <w:sz w:val="24"/>
          <w:szCs w:val="24"/>
        </w:rPr>
        <w:t>ion to obtain betting capital,</w:t>
      </w:r>
      <w:r w:rsidR="004923A8">
        <w:rPr>
          <w:rStyle w:val="FootnoteReference"/>
          <w:rFonts w:ascii="Times New Arabic" w:hAnsi="Times New Arabic"/>
          <w:bCs/>
          <w:sz w:val="24"/>
          <w:szCs w:val="24"/>
        </w:rPr>
        <w:footnoteReference w:id="49"/>
      </w:r>
      <w:r w:rsidR="004923A8" w:rsidRPr="004923A8">
        <w:rPr>
          <w:rFonts w:ascii="Times New Arabic" w:hAnsi="Times New Arabic"/>
          <w:bCs/>
          <w:sz w:val="24"/>
          <w:szCs w:val="24"/>
        </w:rPr>
        <w:t xml:space="preserve"> and even triggers criminal acts such as st</w:t>
      </w:r>
      <w:r w:rsidR="004923A8">
        <w:rPr>
          <w:rFonts w:ascii="Times New Arabic" w:hAnsi="Times New Arabic"/>
          <w:bCs/>
          <w:sz w:val="24"/>
          <w:szCs w:val="24"/>
        </w:rPr>
        <w:t>ealing assets from loved ones.</w:t>
      </w:r>
      <w:r w:rsidR="004923A8">
        <w:rPr>
          <w:rStyle w:val="FootnoteReference"/>
          <w:rFonts w:ascii="Times New Arabic" w:hAnsi="Times New Arabic"/>
          <w:bCs/>
          <w:sz w:val="24"/>
          <w:szCs w:val="24"/>
        </w:rPr>
        <w:footnoteReference w:id="50"/>
      </w:r>
      <w:r w:rsidR="004923A8" w:rsidRPr="004923A8">
        <w:rPr>
          <w:rFonts w:ascii="Times New Arabic" w:hAnsi="Times New Arabic"/>
          <w:bCs/>
          <w:sz w:val="24"/>
          <w:szCs w:val="24"/>
        </w:rPr>
        <w:t xml:space="preserve"> This phenomenon proves that gambling teaches people to seek livelihood through unnatural means and undermines household economic stability.</w:t>
      </w:r>
    </w:p>
    <w:p w14:paraId="469D3541" w14:textId="56D9D06F" w:rsidR="004923A8" w:rsidRDefault="004923A8" w:rsidP="00B50F33">
      <w:pPr>
        <w:spacing w:after="0" w:line="360" w:lineRule="auto"/>
        <w:ind w:firstLine="567"/>
        <w:jc w:val="both"/>
        <w:rPr>
          <w:rFonts w:ascii="Times New Arabic" w:hAnsi="Times New Arabic"/>
          <w:bCs/>
          <w:sz w:val="24"/>
          <w:szCs w:val="24"/>
        </w:rPr>
      </w:pPr>
      <w:r w:rsidRPr="004923A8">
        <w:rPr>
          <w:rFonts w:ascii="Times New Arabic" w:hAnsi="Times New Arabic"/>
          <w:bCs/>
          <w:sz w:val="24"/>
          <w:szCs w:val="24"/>
        </w:rPr>
        <w:t xml:space="preserve">Therefore, as a concrete step toward an economic solution, families need to instill a culture of honest hard work, avoid a “get-rich-quick” mindset, and educate all family members to reject any form of money or goods of unclear origin. This educational step is crucial for building a moral foundation of family work ethics, ensuring they are not easily tempted by the allure of quick profits offered by </w:t>
      </w:r>
      <w:r w:rsidR="0024003A" w:rsidRPr="0024003A">
        <w:rPr>
          <w:rFonts w:ascii="Times New Arabic" w:hAnsi="Times New Arabic"/>
          <w:bCs/>
          <w:sz w:val="24"/>
          <w:szCs w:val="24"/>
        </w:rPr>
        <w:t>online</w:t>
      </w:r>
      <w:r w:rsidRPr="004923A8">
        <w:rPr>
          <w:rFonts w:ascii="Times New Arabic" w:hAnsi="Times New Arabic"/>
          <w:bCs/>
          <w:sz w:val="24"/>
          <w:szCs w:val="24"/>
        </w:rPr>
        <w:t xml:space="preserve"> gambling. Thus, the implementation of the values in Surah al-Baqarah, verse 168,</w:t>
      </w:r>
      <w:r>
        <w:rPr>
          <w:rFonts w:ascii="Times New Arabic" w:hAnsi="Times New Arabic"/>
          <w:bCs/>
          <w:sz w:val="24"/>
          <w:szCs w:val="24"/>
        </w:rPr>
        <w:t xml:space="preserve"> </w:t>
      </w:r>
      <w:r w:rsidRPr="004923A8">
        <w:rPr>
          <w:rFonts w:ascii="Times New Arabic" w:hAnsi="Times New Arabic"/>
          <w:bCs/>
          <w:sz w:val="24"/>
          <w:szCs w:val="24"/>
        </w:rPr>
        <w:t>serves as a reinforcement of character and integrity regarding the primary source of</w:t>
      </w:r>
      <w:r w:rsidR="00B50F33">
        <w:rPr>
          <w:rFonts w:ascii="Times New Arabic" w:hAnsi="Times New Arabic"/>
          <w:bCs/>
          <w:sz w:val="24"/>
          <w:szCs w:val="24"/>
        </w:rPr>
        <w:t xml:space="preserve"> </w:t>
      </w:r>
      <w:r w:rsidRPr="004923A8">
        <w:rPr>
          <w:rFonts w:ascii="Times New Arabic" w:hAnsi="Times New Arabic"/>
          <w:bCs/>
          <w:sz w:val="24"/>
          <w:szCs w:val="24"/>
        </w:rPr>
        <w:t>livelihood with</w:t>
      </w:r>
      <w:r>
        <w:rPr>
          <w:rFonts w:ascii="Times New Arabic" w:hAnsi="Times New Arabic"/>
          <w:bCs/>
          <w:sz w:val="24"/>
          <w:szCs w:val="24"/>
        </w:rPr>
        <w:t>in the family’s sustainability.</w:t>
      </w:r>
    </w:p>
    <w:p w14:paraId="101CA885" w14:textId="77777777" w:rsidR="00DA5429" w:rsidRDefault="00DA5429" w:rsidP="00DA5429">
      <w:pPr>
        <w:spacing w:after="0" w:line="360" w:lineRule="auto"/>
        <w:jc w:val="both"/>
        <w:rPr>
          <w:rFonts w:ascii="Times New Arabic" w:hAnsi="Times New Arabic"/>
          <w:bCs/>
          <w:sz w:val="24"/>
          <w:szCs w:val="24"/>
        </w:rPr>
      </w:pPr>
    </w:p>
    <w:p w14:paraId="1810E20C" w14:textId="178623EB" w:rsidR="004923A8" w:rsidRPr="00DA5429" w:rsidRDefault="004923A8" w:rsidP="00DA5429">
      <w:pPr>
        <w:pStyle w:val="ListParagraph"/>
        <w:keepNext/>
        <w:numPr>
          <w:ilvl w:val="0"/>
          <w:numId w:val="31"/>
        </w:numPr>
        <w:spacing w:after="0" w:line="360" w:lineRule="auto"/>
        <w:jc w:val="both"/>
        <w:rPr>
          <w:rFonts w:ascii="Times New Arabic" w:hAnsi="Times New Arabic"/>
          <w:bCs/>
          <w:sz w:val="24"/>
          <w:szCs w:val="24"/>
        </w:rPr>
      </w:pPr>
      <w:r w:rsidRPr="00DA5429">
        <w:rPr>
          <w:rFonts w:ascii="Times New Arabic" w:hAnsi="Times New Arabic"/>
          <w:bCs/>
          <w:sz w:val="24"/>
          <w:szCs w:val="24"/>
        </w:rPr>
        <w:t>Building Social-Environmental Resilience (Q.S. at-Taubah 119)</w:t>
      </w:r>
    </w:p>
    <w:p w14:paraId="5ABC9B42" w14:textId="01E17F5F" w:rsidR="004923A8" w:rsidRPr="004923A8" w:rsidRDefault="004923A8" w:rsidP="00DA5429">
      <w:pPr>
        <w:keepNext/>
        <w:spacing w:after="0" w:line="360" w:lineRule="auto"/>
        <w:ind w:firstLine="567"/>
        <w:jc w:val="both"/>
        <w:rPr>
          <w:rFonts w:ascii="Times New Arabic" w:hAnsi="Times New Arabic"/>
          <w:bCs/>
          <w:sz w:val="24"/>
          <w:szCs w:val="24"/>
        </w:rPr>
      </w:pPr>
      <w:r w:rsidRPr="004923A8">
        <w:rPr>
          <w:rFonts w:ascii="Times New Arabic" w:hAnsi="Times New Arabic"/>
          <w:bCs/>
          <w:sz w:val="24"/>
          <w:szCs w:val="24"/>
        </w:rPr>
        <w:t xml:space="preserve">In the phenomenon of </w:t>
      </w:r>
      <w:r w:rsidR="0024003A" w:rsidRPr="0024003A">
        <w:rPr>
          <w:rFonts w:ascii="Times New Arabic" w:hAnsi="Times New Arabic"/>
          <w:bCs/>
          <w:sz w:val="24"/>
          <w:szCs w:val="24"/>
        </w:rPr>
        <w:t>online</w:t>
      </w:r>
      <w:r w:rsidRPr="004923A8">
        <w:rPr>
          <w:rFonts w:ascii="Times New Arabic" w:hAnsi="Times New Arabic"/>
          <w:bCs/>
          <w:sz w:val="24"/>
          <w:szCs w:val="24"/>
        </w:rPr>
        <w:t xml:space="preserve"> gambling, a negative environment often serves as a driving factor for someone to fall into the practice of </w:t>
      </w:r>
      <w:r w:rsidR="0024003A" w:rsidRPr="0024003A">
        <w:rPr>
          <w:rFonts w:ascii="Times New Arabic" w:hAnsi="Times New Arabic"/>
          <w:bCs/>
          <w:sz w:val="24"/>
          <w:szCs w:val="24"/>
        </w:rPr>
        <w:t>online</w:t>
      </w:r>
      <w:r w:rsidRPr="004923A8">
        <w:rPr>
          <w:rFonts w:ascii="Times New Arabic" w:hAnsi="Times New Arabic"/>
          <w:bCs/>
          <w:sz w:val="24"/>
          <w:szCs w:val="24"/>
        </w:rPr>
        <w:t xml:space="preserve"> gambling. Conversely, building healthy friendships that support values of integrity will protect individuals and families from external influences. In Surah at-Taubah verse 119, the Qur’an teaches that humans should guard their social circles, for social influence can lead a person toward</w:t>
      </w:r>
      <w:r>
        <w:rPr>
          <w:rFonts w:ascii="Times New Arabic" w:hAnsi="Times New Arabic"/>
          <w:bCs/>
          <w:sz w:val="24"/>
          <w:szCs w:val="24"/>
        </w:rPr>
        <w:t xml:space="preserve"> either good or bad behavior.</w:t>
      </w:r>
      <w:r>
        <w:rPr>
          <w:rStyle w:val="FootnoteReference"/>
          <w:rFonts w:ascii="Times New Arabic" w:hAnsi="Times New Arabic"/>
          <w:bCs/>
          <w:sz w:val="24"/>
          <w:szCs w:val="24"/>
        </w:rPr>
        <w:footnoteReference w:id="51"/>
      </w:r>
      <w:r>
        <w:rPr>
          <w:rFonts w:ascii="Times New Arabic" w:hAnsi="Times New Arabic"/>
          <w:bCs/>
          <w:sz w:val="24"/>
          <w:szCs w:val="24"/>
        </w:rPr>
        <w:t xml:space="preserve"> </w:t>
      </w:r>
      <w:r w:rsidRPr="004923A8">
        <w:rPr>
          <w:rFonts w:ascii="Times New Arabic" w:hAnsi="Times New Arabic"/>
          <w:bCs/>
          <w:sz w:val="24"/>
          <w:szCs w:val="24"/>
        </w:rPr>
        <w:t>A social environment that normalizes gambling exerts an extraordinarily strong external influence in leading someone astray.</w:t>
      </w:r>
    </w:p>
    <w:p w14:paraId="109D15F6" w14:textId="29A14173" w:rsidR="004923A8" w:rsidRPr="004923A8" w:rsidRDefault="004923A8" w:rsidP="00DA5429">
      <w:pPr>
        <w:spacing w:after="0" w:line="360" w:lineRule="auto"/>
        <w:ind w:firstLine="567"/>
        <w:jc w:val="both"/>
        <w:rPr>
          <w:rFonts w:ascii="Times New Arabic" w:hAnsi="Times New Arabic"/>
          <w:bCs/>
          <w:sz w:val="24"/>
          <w:szCs w:val="24"/>
        </w:rPr>
      </w:pPr>
      <w:r w:rsidRPr="004923A8">
        <w:rPr>
          <w:rFonts w:ascii="Times New Arabic" w:hAnsi="Times New Arabic"/>
          <w:bCs/>
          <w:sz w:val="24"/>
          <w:szCs w:val="24"/>
        </w:rPr>
        <w:t xml:space="preserve">Social impact: </w:t>
      </w:r>
      <w:r w:rsidR="0024003A" w:rsidRPr="0024003A">
        <w:rPr>
          <w:rFonts w:ascii="Times New Arabic" w:hAnsi="Times New Arabic"/>
          <w:bCs/>
          <w:sz w:val="24"/>
          <w:szCs w:val="24"/>
        </w:rPr>
        <w:t>online</w:t>
      </w:r>
      <w:r w:rsidRPr="004923A8">
        <w:rPr>
          <w:rFonts w:ascii="Times New Arabic" w:hAnsi="Times New Arabic"/>
          <w:bCs/>
          <w:sz w:val="24"/>
          <w:szCs w:val="24"/>
        </w:rPr>
        <w:t xml:space="preserve"> gamblers experience a shift in social patterns; they withdraw and only feel comfortable interacting with fellow gamblers, thereby damaging healthy social relations</w:t>
      </w:r>
      <w:r>
        <w:rPr>
          <w:rFonts w:ascii="Times New Arabic" w:hAnsi="Times New Arabic"/>
          <w:bCs/>
          <w:sz w:val="24"/>
          <w:szCs w:val="24"/>
        </w:rPr>
        <w:t>hips with the wider community.</w:t>
      </w:r>
      <w:r>
        <w:rPr>
          <w:rStyle w:val="FootnoteReference"/>
          <w:rFonts w:ascii="Times New Arabic" w:hAnsi="Times New Arabic"/>
          <w:bCs/>
          <w:sz w:val="24"/>
          <w:szCs w:val="24"/>
        </w:rPr>
        <w:footnoteReference w:id="52"/>
      </w:r>
      <w:r w:rsidRPr="004923A8">
        <w:rPr>
          <w:rFonts w:ascii="Times New Arabic" w:hAnsi="Times New Arabic"/>
          <w:bCs/>
          <w:sz w:val="24"/>
          <w:szCs w:val="24"/>
        </w:rPr>
        <w:t xml:space="preserve"> The influence of people within an individual’s social network can shape gambling behavior through a process of normalization. Individuals in environments where gambling is prevalent tend to view such behavior as normal, even normalizing the various negative consequences i</w:t>
      </w:r>
      <w:r>
        <w:rPr>
          <w:rFonts w:ascii="Times New Arabic" w:hAnsi="Times New Arabic"/>
          <w:bCs/>
          <w:sz w:val="24"/>
          <w:szCs w:val="24"/>
        </w:rPr>
        <w:t>t causes.</w:t>
      </w:r>
      <w:r>
        <w:rPr>
          <w:rStyle w:val="FootnoteReference"/>
          <w:rFonts w:ascii="Times New Arabic" w:hAnsi="Times New Arabic"/>
          <w:bCs/>
          <w:sz w:val="24"/>
          <w:szCs w:val="24"/>
        </w:rPr>
        <w:footnoteReference w:id="53"/>
      </w:r>
      <w:r w:rsidRPr="004923A8">
        <w:rPr>
          <w:rFonts w:ascii="Times New Arabic" w:hAnsi="Times New Arabic"/>
          <w:bCs/>
          <w:sz w:val="24"/>
          <w:szCs w:val="24"/>
        </w:rPr>
        <w:t xml:space="preserve"> This demonstrates that the social environment plays a crucial role in shaping an individual’s mindset and behavior.</w:t>
      </w:r>
    </w:p>
    <w:p w14:paraId="109D73F3" w14:textId="24375539" w:rsidR="00511E8C" w:rsidRDefault="004923A8" w:rsidP="00DA5429">
      <w:pPr>
        <w:spacing w:after="0" w:line="360" w:lineRule="auto"/>
        <w:ind w:firstLine="567"/>
        <w:jc w:val="both"/>
        <w:rPr>
          <w:rFonts w:ascii="Times New Arabic" w:hAnsi="Times New Arabic"/>
          <w:bCs/>
          <w:sz w:val="24"/>
          <w:szCs w:val="24"/>
        </w:rPr>
      </w:pPr>
      <w:r w:rsidRPr="004923A8">
        <w:rPr>
          <w:rFonts w:ascii="Times New Arabic" w:hAnsi="Times New Arabic"/>
          <w:bCs/>
          <w:sz w:val="24"/>
          <w:szCs w:val="24"/>
        </w:rPr>
        <w:lastRenderedPageBreak/>
        <w:t>Therefore, families need to build social-environmental resilience by filtering social interactions in the real world as well as in digital spaces, such as WhatsApp</w:t>
      </w:r>
      <w:r w:rsidR="00511E8C">
        <w:rPr>
          <w:rFonts w:ascii="Times New Arabic" w:hAnsi="Times New Arabic"/>
          <w:bCs/>
          <w:sz w:val="24"/>
          <w:szCs w:val="24"/>
        </w:rPr>
        <w:t xml:space="preserve">, </w:t>
      </w:r>
      <w:r w:rsidR="00511E8C" w:rsidRPr="00511E8C">
        <w:rPr>
          <w:rFonts w:ascii="Times New Arabic" w:hAnsi="Times New Arabic"/>
          <w:bCs/>
          <w:sz w:val="24"/>
          <w:szCs w:val="24"/>
        </w:rPr>
        <w:t xml:space="preserve">chat groups, social media, and other </w:t>
      </w:r>
      <w:r w:rsidR="0024003A" w:rsidRPr="0024003A">
        <w:rPr>
          <w:rFonts w:ascii="Times New Arabic" w:hAnsi="Times New Arabic"/>
          <w:bCs/>
          <w:sz w:val="24"/>
          <w:szCs w:val="24"/>
        </w:rPr>
        <w:t>online</w:t>
      </w:r>
      <w:r w:rsidR="00511E8C" w:rsidRPr="00511E8C">
        <w:rPr>
          <w:rFonts w:ascii="Times New Arabic" w:hAnsi="Times New Arabic"/>
          <w:bCs/>
          <w:sz w:val="24"/>
          <w:szCs w:val="24"/>
        </w:rPr>
        <w:t xml:space="preserve"> communities. Additionally, family members should be encouraged to actively participate in positive social and religious activities and to build relationships with friends who possess good values and behavior. In this way, preventive social control will be established, ensuring that family members are not easily influenced by environments that norma</w:t>
      </w:r>
      <w:r w:rsidR="00511E8C">
        <w:rPr>
          <w:rFonts w:ascii="Times New Arabic" w:hAnsi="Times New Arabic"/>
          <w:bCs/>
          <w:sz w:val="24"/>
          <w:szCs w:val="24"/>
        </w:rPr>
        <w:t xml:space="preserve">lize </w:t>
      </w:r>
      <w:r w:rsidR="0024003A" w:rsidRPr="0024003A">
        <w:rPr>
          <w:rFonts w:ascii="Times New Arabic" w:hAnsi="Times New Arabic"/>
          <w:bCs/>
          <w:sz w:val="24"/>
          <w:szCs w:val="24"/>
        </w:rPr>
        <w:t>online</w:t>
      </w:r>
      <w:r w:rsidR="00511E8C">
        <w:rPr>
          <w:rFonts w:ascii="Times New Arabic" w:hAnsi="Times New Arabic"/>
          <w:bCs/>
          <w:sz w:val="24"/>
          <w:szCs w:val="24"/>
        </w:rPr>
        <w:t xml:space="preserve"> gambling practices.</w:t>
      </w:r>
    </w:p>
    <w:p w14:paraId="79CD405F" w14:textId="77777777" w:rsidR="00DA5429" w:rsidRPr="00511E8C" w:rsidRDefault="00DA5429" w:rsidP="00DA5429">
      <w:pPr>
        <w:spacing w:after="0" w:line="360" w:lineRule="auto"/>
        <w:ind w:firstLine="567"/>
        <w:jc w:val="both"/>
        <w:rPr>
          <w:rFonts w:ascii="Times New Arabic" w:hAnsi="Times New Arabic"/>
          <w:bCs/>
          <w:sz w:val="24"/>
          <w:szCs w:val="24"/>
        </w:rPr>
      </w:pPr>
    </w:p>
    <w:p w14:paraId="0375F099" w14:textId="54163616" w:rsidR="00511E8C" w:rsidRPr="00511E8C" w:rsidRDefault="00511E8C" w:rsidP="009012F2">
      <w:pPr>
        <w:pStyle w:val="ListParagraph"/>
        <w:numPr>
          <w:ilvl w:val="0"/>
          <w:numId w:val="30"/>
        </w:numPr>
        <w:spacing w:after="0" w:line="360" w:lineRule="auto"/>
        <w:jc w:val="both"/>
        <w:rPr>
          <w:rFonts w:ascii="Times New Arabic" w:hAnsi="Times New Arabic"/>
          <w:bCs/>
          <w:sz w:val="24"/>
          <w:szCs w:val="24"/>
        </w:rPr>
      </w:pPr>
      <w:r w:rsidRPr="00511E8C">
        <w:rPr>
          <w:rFonts w:ascii="Times New Arabic" w:hAnsi="Times New Arabic"/>
          <w:bCs/>
          <w:sz w:val="24"/>
          <w:szCs w:val="24"/>
        </w:rPr>
        <w:t>Asset Management and Financial Resilience (Q.S. al-Baqarah 188)</w:t>
      </w:r>
    </w:p>
    <w:p w14:paraId="5E9BBD5A" w14:textId="684BC8E4" w:rsidR="00511E8C" w:rsidRPr="00511E8C" w:rsidRDefault="00511E8C" w:rsidP="00DA5429">
      <w:pPr>
        <w:spacing w:after="0" w:line="360" w:lineRule="auto"/>
        <w:ind w:firstLine="567"/>
        <w:jc w:val="both"/>
        <w:rPr>
          <w:rFonts w:ascii="Times New Arabic" w:hAnsi="Times New Arabic"/>
          <w:bCs/>
          <w:sz w:val="24"/>
          <w:szCs w:val="24"/>
        </w:rPr>
      </w:pPr>
      <w:r w:rsidRPr="00511E8C">
        <w:rPr>
          <w:rFonts w:ascii="Times New Arabic" w:hAnsi="Times New Arabic"/>
          <w:bCs/>
          <w:sz w:val="24"/>
          <w:szCs w:val="24"/>
        </w:rPr>
        <w:t>In Islam, wealth is viewed as a trust and a blessing from Allah SWT to humanity that must be managed well and with full res</w:t>
      </w:r>
      <w:r>
        <w:rPr>
          <w:rFonts w:ascii="Times New Arabic" w:hAnsi="Times New Arabic"/>
          <w:bCs/>
          <w:sz w:val="24"/>
          <w:szCs w:val="24"/>
        </w:rPr>
        <w:t>ponsibility.</w:t>
      </w:r>
      <w:r>
        <w:rPr>
          <w:rStyle w:val="FootnoteReference"/>
          <w:rFonts w:ascii="Times New Arabic" w:hAnsi="Times New Arabic"/>
          <w:bCs/>
          <w:sz w:val="24"/>
          <w:szCs w:val="24"/>
        </w:rPr>
        <w:footnoteReference w:id="54"/>
      </w:r>
      <w:r w:rsidRPr="00511E8C">
        <w:rPr>
          <w:rFonts w:ascii="Times New Arabic" w:hAnsi="Times New Arabic"/>
          <w:bCs/>
          <w:sz w:val="24"/>
          <w:szCs w:val="24"/>
        </w:rPr>
        <w:t xml:space="preserve"> This principle aligns with the words of Allah SWT in Surah al-Baqarah verse 188, which strictly prohibits the taking of wealth through unjust means, including </w:t>
      </w:r>
      <w:r w:rsidR="0024003A" w:rsidRPr="0024003A">
        <w:rPr>
          <w:rFonts w:ascii="Times New Arabic" w:hAnsi="Times New Arabic"/>
          <w:bCs/>
          <w:sz w:val="24"/>
          <w:szCs w:val="24"/>
        </w:rPr>
        <w:t>online</w:t>
      </w:r>
      <w:r w:rsidRPr="00511E8C">
        <w:rPr>
          <w:rFonts w:ascii="Times New Arabic" w:hAnsi="Times New Arabic"/>
          <w:bCs/>
          <w:sz w:val="24"/>
          <w:szCs w:val="24"/>
        </w:rPr>
        <w:t xml:space="preserve"> gambling practices that have been proven to damage the economy and the harmony of the household. Psychologically, </w:t>
      </w:r>
      <w:r w:rsidR="0024003A" w:rsidRPr="0024003A">
        <w:rPr>
          <w:rFonts w:ascii="Times New Arabic" w:hAnsi="Times New Arabic"/>
          <w:bCs/>
          <w:sz w:val="24"/>
          <w:szCs w:val="24"/>
        </w:rPr>
        <w:t>online</w:t>
      </w:r>
      <w:r w:rsidRPr="00511E8C">
        <w:rPr>
          <w:rFonts w:ascii="Times New Arabic" w:hAnsi="Times New Arabic"/>
          <w:bCs/>
          <w:sz w:val="24"/>
          <w:szCs w:val="24"/>
        </w:rPr>
        <w:t xml:space="preserve"> gambling triggers a phenomenon of chasing losses, causing individuals to lose control and continuously increase their bets. The financial impact manifests as the depletion of savings, massive entanglement in </w:t>
      </w:r>
      <w:r w:rsidR="0024003A" w:rsidRPr="0024003A">
        <w:rPr>
          <w:rFonts w:ascii="Times New Arabic" w:hAnsi="Times New Arabic"/>
          <w:bCs/>
          <w:sz w:val="24"/>
          <w:szCs w:val="24"/>
        </w:rPr>
        <w:t>online</w:t>
      </w:r>
      <w:r w:rsidRPr="00511E8C">
        <w:rPr>
          <w:rFonts w:ascii="Times New Arabic" w:hAnsi="Times New Arabic"/>
          <w:bCs/>
          <w:sz w:val="24"/>
          <w:szCs w:val="24"/>
        </w:rPr>
        <w:t xml:space="preserve"> loans (pinjol), neglect of essential household needs, and the forced transfer of family assets throug</w:t>
      </w:r>
      <w:r>
        <w:rPr>
          <w:rFonts w:ascii="Times New Arabic" w:hAnsi="Times New Arabic"/>
          <w:bCs/>
          <w:sz w:val="24"/>
          <w:szCs w:val="24"/>
        </w:rPr>
        <w:t>h pawnbroking or forced sales.</w:t>
      </w:r>
      <w:r>
        <w:rPr>
          <w:rStyle w:val="FootnoteReference"/>
          <w:rFonts w:ascii="Times New Arabic" w:hAnsi="Times New Arabic"/>
          <w:bCs/>
          <w:sz w:val="24"/>
          <w:szCs w:val="24"/>
        </w:rPr>
        <w:footnoteReference w:id="55"/>
      </w:r>
    </w:p>
    <w:p w14:paraId="44E23201" w14:textId="050EE162" w:rsidR="00511E8C" w:rsidRPr="00511E8C" w:rsidRDefault="00511E8C" w:rsidP="00DA5429">
      <w:pPr>
        <w:spacing w:after="0" w:line="360" w:lineRule="auto"/>
        <w:ind w:firstLine="567"/>
        <w:jc w:val="both"/>
        <w:rPr>
          <w:rFonts w:ascii="Times New Arabic" w:hAnsi="Times New Arabic"/>
          <w:bCs/>
          <w:sz w:val="24"/>
          <w:szCs w:val="24"/>
        </w:rPr>
      </w:pPr>
      <w:r w:rsidRPr="00511E8C">
        <w:rPr>
          <w:rFonts w:ascii="Times New Arabic" w:hAnsi="Times New Arabic"/>
          <w:bCs/>
          <w:sz w:val="24"/>
          <w:szCs w:val="24"/>
        </w:rPr>
        <w:lastRenderedPageBreak/>
        <w:t>Therefore, this pillar emphasizes technical efforts to protect assets through strict financial management within the domestic system. Family units must implement transparent financial management through monthly budget planning agreed upon jointly by husband and wife. This step is accompanied by the segregation of emergency funds into a special account that cannot be accessed unilaterally, as well</w:t>
      </w:r>
      <w:r>
        <w:rPr>
          <w:rFonts w:ascii="Times New Arabic" w:hAnsi="Times New Arabic"/>
          <w:bCs/>
          <w:sz w:val="24"/>
          <w:szCs w:val="24"/>
        </w:rPr>
        <w:t xml:space="preserve"> </w:t>
      </w:r>
      <w:r w:rsidRPr="00511E8C">
        <w:rPr>
          <w:rFonts w:ascii="Times New Arabic" w:hAnsi="Times New Arabic"/>
          <w:bCs/>
          <w:sz w:val="24"/>
          <w:szCs w:val="24"/>
        </w:rPr>
        <w:t xml:space="preserve">as strict monitoring of incoming and outgoing cash flows through digital security measures, such as personal identification number (PIN) protection, passwords, and the activation of biometric verification features on mobile banking (m-banking) applications. Strengthening financial literacy and security systems is crucial for safeguarding family assets, ensuring they cannot be improperly exploited for speculative </w:t>
      </w:r>
      <w:r w:rsidR="0024003A" w:rsidRPr="0024003A">
        <w:rPr>
          <w:rFonts w:ascii="Times New Arabic" w:hAnsi="Times New Arabic"/>
          <w:bCs/>
          <w:sz w:val="24"/>
          <w:szCs w:val="24"/>
        </w:rPr>
        <w:t>online</w:t>
      </w:r>
      <w:r w:rsidRPr="00511E8C">
        <w:rPr>
          <w:rFonts w:ascii="Times New Arabic" w:hAnsi="Times New Arabic"/>
          <w:bCs/>
          <w:sz w:val="24"/>
          <w:szCs w:val="24"/>
        </w:rPr>
        <w:t xml:space="preserve"> gambling activities.</w:t>
      </w:r>
    </w:p>
    <w:p w14:paraId="616BCC25" w14:textId="76CA7A54" w:rsidR="00511E8C" w:rsidRDefault="00511E8C" w:rsidP="00DA5429">
      <w:pPr>
        <w:spacing w:after="0" w:line="360" w:lineRule="auto"/>
        <w:ind w:firstLine="567"/>
        <w:jc w:val="both"/>
        <w:rPr>
          <w:rFonts w:ascii="Times New Arabic" w:hAnsi="Times New Arabic"/>
          <w:bCs/>
          <w:sz w:val="24"/>
          <w:szCs w:val="24"/>
        </w:rPr>
      </w:pPr>
      <w:r w:rsidRPr="00511E8C">
        <w:rPr>
          <w:rFonts w:ascii="Times New Arabic" w:hAnsi="Times New Arabic"/>
          <w:bCs/>
          <w:sz w:val="24"/>
          <w:szCs w:val="24"/>
        </w:rPr>
        <w:t xml:space="preserve">Based on the above discussion, the integration of the four pillars of the Qur’anic solution—namely, maintaining spiritual quality, ensuring the </w:t>
      </w:r>
      <w:r w:rsidRPr="0021000D">
        <w:rPr>
          <w:rFonts w:ascii="Times New Arabic" w:hAnsi="Times New Arabic"/>
          <w:bCs/>
          <w:i/>
          <w:iCs/>
          <w:sz w:val="24"/>
          <w:szCs w:val="24"/>
        </w:rPr>
        <w:t>halal</w:t>
      </w:r>
      <w:r w:rsidRPr="00511E8C">
        <w:rPr>
          <w:rFonts w:ascii="Times New Arabic" w:hAnsi="Times New Arabic"/>
          <w:bCs/>
          <w:sz w:val="24"/>
          <w:szCs w:val="24"/>
        </w:rPr>
        <w:t xml:space="preserve"> nature of income sources, filtering the social environment, and managing assets wisely—is a key determinant in achieving family resilience amidst the massive challenges of </w:t>
      </w:r>
      <w:r w:rsidR="0024003A" w:rsidRPr="0024003A">
        <w:rPr>
          <w:rFonts w:ascii="Times New Arabic" w:hAnsi="Times New Arabic"/>
          <w:bCs/>
          <w:sz w:val="24"/>
          <w:szCs w:val="24"/>
        </w:rPr>
        <w:t>online</w:t>
      </w:r>
      <w:r w:rsidRPr="00511E8C">
        <w:rPr>
          <w:rFonts w:ascii="Times New Arabic" w:hAnsi="Times New Arabic"/>
          <w:bCs/>
          <w:sz w:val="24"/>
          <w:szCs w:val="24"/>
        </w:rPr>
        <w:t xml:space="preserve"> gambling. If these four dimensions of the solution are implemented effectively, the family institution will possess a strong defensive fortress. This protection is not only effective in warding off the destructive effects of </w:t>
      </w:r>
      <w:r w:rsidR="0024003A" w:rsidRPr="0024003A">
        <w:rPr>
          <w:rFonts w:ascii="Times New Arabic" w:hAnsi="Times New Arabic"/>
          <w:bCs/>
          <w:sz w:val="24"/>
          <w:szCs w:val="24"/>
        </w:rPr>
        <w:t>online</w:t>
      </w:r>
      <w:r w:rsidRPr="00511E8C">
        <w:rPr>
          <w:rFonts w:ascii="Times New Arabic" w:hAnsi="Times New Arabic"/>
          <w:bCs/>
          <w:sz w:val="24"/>
          <w:szCs w:val="24"/>
        </w:rPr>
        <w:t xml:space="preserve"> gambling but is also adaptable to various other moral disruptions in the digital age, thereby enabling the sustainable realization of families that are </w:t>
      </w:r>
      <w:r w:rsidRPr="00CE61A4">
        <w:rPr>
          <w:rFonts w:ascii="Times New Arabic" w:hAnsi="Times New Arabic"/>
          <w:bCs/>
          <w:i/>
          <w:iCs/>
          <w:sz w:val="24"/>
          <w:szCs w:val="24"/>
        </w:rPr>
        <w:t>sakinah</w:t>
      </w:r>
      <w:r>
        <w:rPr>
          <w:rFonts w:ascii="Times New Arabic" w:hAnsi="Times New Arabic"/>
          <w:bCs/>
          <w:sz w:val="24"/>
          <w:szCs w:val="24"/>
        </w:rPr>
        <w:t>, harmonious, and prosperous.</w:t>
      </w:r>
    </w:p>
    <w:p w14:paraId="3A3B84AA" w14:textId="77777777" w:rsidR="002C3956" w:rsidRPr="00511E8C" w:rsidRDefault="002C3956" w:rsidP="009012F2">
      <w:pPr>
        <w:spacing w:after="0" w:line="360" w:lineRule="auto"/>
        <w:jc w:val="both"/>
        <w:rPr>
          <w:rFonts w:ascii="Times New Arabic" w:hAnsi="Times New Arabic"/>
          <w:bCs/>
          <w:sz w:val="24"/>
          <w:szCs w:val="24"/>
        </w:rPr>
      </w:pPr>
    </w:p>
    <w:p w14:paraId="3648AE7F" w14:textId="77777777" w:rsidR="00511E8C" w:rsidRPr="00511E8C" w:rsidRDefault="00511E8C" w:rsidP="009012F2">
      <w:pPr>
        <w:spacing w:after="0" w:line="360" w:lineRule="auto"/>
        <w:jc w:val="both"/>
        <w:rPr>
          <w:rFonts w:ascii="Times New Arabic" w:hAnsi="Times New Arabic"/>
          <w:b/>
          <w:bCs/>
          <w:sz w:val="24"/>
          <w:szCs w:val="24"/>
        </w:rPr>
      </w:pPr>
      <w:r w:rsidRPr="00511E8C">
        <w:rPr>
          <w:rFonts w:ascii="Times New Arabic" w:hAnsi="Times New Arabic"/>
          <w:b/>
          <w:bCs/>
          <w:sz w:val="24"/>
          <w:szCs w:val="24"/>
        </w:rPr>
        <w:t>CONCLUSION</w:t>
      </w:r>
    </w:p>
    <w:p w14:paraId="12A957A0" w14:textId="7C1243B3" w:rsidR="00511E8C" w:rsidRPr="00511E8C" w:rsidRDefault="00511E8C" w:rsidP="00DA5429">
      <w:pPr>
        <w:spacing w:after="0" w:line="360" w:lineRule="auto"/>
        <w:ind w:firstLine="567"/>
        <w:jc w:val="both"/>
        <w:rPr>
          <w:rFonts w:ascii="Times New Arabic" w:hAnsi="Times New Arabic"/>
          <w:bCs/>
          <w:sz w:val="24"/>
          <w:szCs w:val="24"/>
        </w:rPr>
      </w:pPr>
      <w:r w:rsidRPr="00511E8C">
        <w:rPr>
          <w:rFonts w:ascii="Times New Arabic" w:hAnsi="Times New Arabic"/>
          <w:bCs/>
          <w:sz w:val="24"/>
          <w:szCs w:val="24"/>
        </w:rPr>
        <w:t xml:space="preserve">Based on the discussion above, it can be concluded that the practice of </w:t>
      </w:r>
      <w:r w:rsidR="0024003A" w:rsidRPr="0024003A">
        <w:rPr>
          <w:rFonts w:ascii="Times New Arabic" w:hAnsi="Times New Arabic"/>
          <w:bCs/>
          <w:sz w:val="24"/>
          <w:szCs w:val="24"/>
        </w:rPr>
        <w:t>online</w:t>
      </w:r>
      <w:r w:rsidRPr="00511E8C">
        <w:rPr>
          <w:rFonts w:ascii="Times New Arabic" w:hAnsi="Times New Arabic"/>
          <w:bCs/>
          <w:sz w:val="24"/>
          <w:szCs w:val="24"/>
        </w:rPr>
        <w:t xml:space="preserve"> gambling not only causes personal harm to those involved but also </w:t>
      </w:r>
      <w:r w:rsidRPr="00511E8C">
        <w:rPr>
          <w:rFonts w:ascii="Times New Arabic" w:hAnsi="Times New Arabic"/>
          <w:bCs/>
          <w:sz w:val="24"/>
          <w:szCs w:val="24"/>
        </w:rPr>
        <w:lastRenderedPageBreak/>
        <w:t>brings massive destructive impacts on the existence of the family institution. Financial losses leading to economic crises, escalating domestic conflicts, psychological disturbances such as anxiety and depression, and the degradation of religious values constitute a series of tangible impacts that threaten family resilience. The Qur’an, through Surah al- Ma’idah verses 90–91, explicitly prohibits all forms of gambling (</w:t>
      </w:r>
      <w:r w:rsidR="006313C3" w:rsidRPr="006313C3">
        <w:rPr>
          <w:rFonts w:ascii="Times New Arabic" w:hAnsi="Times New Arabic"/>
          <w:bCs/>
          <w:i/>
          <w:sz w:val="24"/>
          <w:szCs w:val="24"/>
        </w:rPr>
        <w:t>maysir</w:t>
      </w:r>
      <w:r w:rsidRPr="00511E8C">
        <w:rPr>
          <w:rFonts w:ascii="Times New Arabic" w:hAnsi="Times New Arabic"/>
          <w:bCs/>
          <w:sz w:val="24"/>
          <w:szCs w:val="24"/>
        </w:rPr>
        <w:t>) because its harmful implications far outweigh its benefits. According to the interpretations of both classical and contemporary exegetes, this prohibition aims not only to protect people from material loss but also to safeguard social capital, public morality, and spirituality so that they remain preserved. In a modern context, this universal message of the</w:t>
      </w:r>
      <w:r>
        <w:rPr>
          <w:rFonts w:ascii="Times New Arabic" w:hAnsi="Times New Arabic"/>
          <w:bCs/>
          <w:sz w:val="24"/>
          <w:szCs w:val="24"/>
        </w:rPr>
        <w:t xml:space="preserve"> </w:t>
      </w:r>
      <w:r w:rsidRPr="00511E8C">
        <w:rPr>
          <w:rFonts w:ascii="Times New Arabic" w:hAnsi="Times New Arabic"/>
          <w:bCs/>
          <w:sz w:val="24"/>
          <w:szCs w:val="24"/>
        </w:rPr>
        <w:t xml:space="preserve">Qur’an holds exceptionally high contextual relevance as a moral compass and preventive tool in shielding society from the growing and easily accessible trap of </w:t>
      </w:r>
      <w:r w:rsidR="0024003A" w:rsidRPr="0024003A">
        <w:rPr>
          <w:rFonts w:ascii="Times New Arabic" w:hAnsi="Times New Arabic"/>
          <w:bCs/>
          <w:sz w:val="24"/>
          <w:szCs w:val="24"/>
        </w:rPr>
        <w:t>online</w:t>
      </w:r>
      <w:r w:rsidRPr="00511E8C">
        <w:rPr>
          <w:rFonts w:ascii="Times New Arabic" w:hAnsi="Times New Arabic"/>
          <w:bCs/>
          <w:sz w:val="24"/>
          <w:szCs w:val="24"/>
        </w:rPr>
        <w:t xml:space="preserve"> gambling.</w:t>
      </w:r>
    </w:p>
    <w:p w14:paraId="5940E264" w14:textId="15A0BBD0" w:rsidR="000B474F" w:rsidRDefault="00511E8C" w:rsidP="00DA5429">
      <w:pPr>
        <w:spacing w:after="0" w:line="360" w:lineRule="auto"/>
        <w:ind w:firstLine="567"/>
        <w:jc w:val="both"/>
        <w:rPr>
          <w:rFonts w:ascii="Times New Arabic" w:hAnsi="Times New Arabic"/>
          <w:bCs/>
          <w:sz w:val="24"/>
          <w:szCs w:val="24"/>
        </w:rPr>
      </w:pPr>
      <w:r w:rsidRPr="00511E8C">
        <w:rPr>
          <w:rFonts w:ascii="Times New Arabic" w:hAnsi="Times New Arabic"/>
          <w:bCs/>
          <w:sz w:val="24"/>
          <w:szCs w:val="24"/>
        </w:rPr>
        <w:t xml:space="preserve">Furthermore, this study emphasizes that efforts to combat </w:t>
      </w:r>
      <w:r w:rsidR="0024003A" w:rsidRPr="0024003A">
        <w:rPr>
          <w:rFonts w:ascii="Times New Arabic" w:hAnsi="Times New Arabic"/>
          <w:bCs/>
          <w:sz w:val="24"/>
          <w:szCs w:val="24"/>
        </w:rPr>
        <w:t>online</w:t>
      </w:r>
      <w:r w:rsidRPr="00511E8C">
        <w:rPr>
          <w:rFonts w:ascii="Times New Arabic" w:hAnsi="Times New Arabic"/>
          <w:bCs/>
          <w:sz w:val="24"/>
          <w:szCs w:val="24"/>
        </w:rPr>
        <w:t xml:space="preserve"> gambling should not rely solely on the state’s repressiv</w:t>
      </w:r>
      <w:r>
        <w:rPr>
          <w:rFonts w:ascii="Times New Arabic" w:hAnsi="Times New Arabic"/>
          <w:bCs/>
          <w:sz w:val="24"/>
          <w:szCs w:val="24"/>
        </w:rPr>
        <w:t xml:space="preserve">e law enforcement instruments </w:t>
      </w:r>
      <w:r w:rsidRPr="00511E8C">
        <w:rPr>
          <w:rFonts w:ascii="Times New Arabic" w:hAnsi="Times New Arabic"/>
          <w:bCs/>
          <w:sz w:val="24"/>
          <w:szCs w:val="24"/>
        </w:rPr>
        <w:t xml:space="preserve">but must be accompanied by strengthening family resilience as the primary line of defense within the social system. The internalization of religious values, accountable domestic financial management, and the creation of a healthy ecosystem are strategic steps to minimize the risk of individual involvement in cyber gambling practices. Therefore, collective synergy between family units, educational institutions, religious leaders, and the government is absolutely necessary to build widespread public awareness of the dangers of </w:t>
      </w:r>
      <w:r w:rsidR="0024003A" w:rsidRPr="0024003A">
        <w:rPr>
          <w:rFonts w:ascii="Times New Arabic" w:hAnsi="Times New Arabic"/>
          <w:bCs/>
          <w:sz w:val="24"/>
          <w:szCs w:val="24"/>
        </w:rPr>
        <w:t>online</w:t>
      </w:r>
      <w:r w:rsidRPr="00511E8C">
        <w:rPr>
          <w:rFonts w:ascii="Times New Arabic" w:hAnsi="Times New Arabic"/>
          <w:bCs/>
          <w:sz w:val="24"/>
          <w:szCs w:val="24"/>
        </w:rPr>
        <w:t xml:space="preserve"> gambling. Through such collaboration, the Qur’anic teachings regarding the prohibition of </w:t>
      </w:r>
      <w:r w:rsidR="006313C3" w:rsidRPr="006313C3">
        <w:rPr>
          <w:rFonts w:ascii="Times New Arabic" w:hAnsi="Times New Arabic"/>
          <w:bCs/>
          <w:i/>
          <w:sz w:val="24"/>
          <w:szCs w:val="24"/>
        </w:rPr>
        <w:t>maysir</w:t>
      </w:r>
      <w:r w:rsidRPr="00511E8C">
        <w:rPr>
          <w:rFonts w:ascii="Times New Arabic" w:hAnsi="Times New Arabic"/>
          <w:bCs/>
          <w:sz w:val="24"/>
          <w:szCs w:val="24"/>
        </w:rPr>
        <w:t xml:space="preserve"> will no longer be understood merely as legal texts, but as transformative guidelines for preserving domestic </w:t>
      </w:r>
      <w:r w:rsidRPr="00511E8C">
        <w:rPr>
          <w:rFonts w:ascii="Times New Arabic" w:hAnsi="Times New Arabic"/>
          <w:bCs/>
          <w:sz w:val="24"/>
          <w:szCs w:val="24"/>
        </w:rPr>
        <w:lastRenderedPageBreak/>
        <w:t>integrity while realizing a civilized societal order amidst the acceleration of digital technology.</w:t>
      </w:r>
    </w:p>
    <w:p w14:paraId="5251D994" w14:textId="2914D364" w:rsidR="000127EB" w:rsidRDefault="000127EB" w:rsidP="009012F2">
      <w:pPr>
        <w:spacing w:after="0" w:line="360" w:lineRule="auto"/>
        <w:jc w:val="both"/>
        <w:rPr>
          <w:rFonts w:ascii="Times New Arabic" w:hAnsi="Times New Arabic"/>
          <w:bCs/>
          <w:sz w:val="24"/>
          <w:szCs w:val="24"/>
        </w:rPr>
      </w:pPr>
    </w:p>
    <w:p w14:paraId="3ACF98A5" w14:textId="77777777" w:rsidR="00730665" w:rsidRPr="00730665" w:rsidRDefault="00730665" w:rsidP="00DA5429">
      <w:pPr>
        <w:keepNext/>
        <w:spacing w:after="0" w:line="360" w:lineRule="auto"/>
        <w:jc w:val="center"/>
        <w:rPr>
          <w:rFonts w:ascii="Times New Arabic" w:hAnsi="Times New Arabic"/>
          <w:b/>
          <w:sz w:val="24"/>
          <w:szCs w:val="24"/>
        </w:rPr>
      </w:pPr>
      <w:r w:rsidRPr="00730665">
        <w:rPr>
          <w:rFonts w:ascii="Times New Arabic" w:hAnsi="Times New Arabic"/>
          <w:b/>
          <w:sz w:val="24"/>
          <w:szCs w:val="24"/>
        </w:rPr>
        <w:t>REFERENCES</w:t>
      </w:r>
    </w:p>
    <w:p w14:paraId="26F8F7F4" w14:textId="77777777" w:rsidR="00580E61" w:rsidRDefault="00580E61" w:rsidP="00DA5429">
      <w:pPr>
        <w:keepNext/>
        <w:spacing w:after="0" w:line="360" w:lineRule="auto"/>
        <w:ind w:left="567" w:hanging="567"/>
        <w:jc w:val="both"/>
        <w:rPr>
          <w:rFonts w:ascii="Times New Arabic" w:hAnsi="Times New Arabic"/>
          <w:bCs/>
          <w:sz w:val="24"/>
          <w:szCs w:val="24"/>
        </w:rPr>
      </w:pPr>
      <w:r w:rsidRPr="00580E61">
        <w:rPr>
          <w:rFonts w:ascii="Times New Arabic" w:hAnsi="Times New Arabic"/>
          <w:bCs/>
          <w:sz w:val="24"/>
          <w:szCs w:val="24"/>
        </w:rPr>
        <w:t>Alfani</w:t>
      </w:r>
      <w:r w:rsidRPr="00730665">
        <w:rPr>
          <w:rFonts w:ascii="Times New Arabic" w:hAnsi="Times New Arabic"/>
          <w:bCs/>
          <w:sz w:val="24"/>
          <w:szCs w:val="24"/>
        </w:rPr>
        <w:t xml:space="preserve">, Mukhammad, Farichatul Fauziyah, and Ahmad Zamzami Mudhofar Abu Zayyid. “The Application of the Values of Sahih al-Bukhari Hadith No. 6159 in Addressing Online Gambling Among the Younger Generation.” </w:t>
      </w:r>
      <w:r w:rsidRPr="00DA5429">
        <w:rPr>
          <w:rFonts w:ascii="Times New Arabic" w:hAnsi="Times New Arabic"/>
          <w:bCs/>
          <w:i/>
          <w:iCs/>
          <w:sz w:val="24"/>
          <w:szCs w:val="24"/>
        </w:rPr>
        <w:t>Dirayah: Journal of Hadith Studies</w:t>
      </w:r>
      <w:r w:rsidRPr="00730665">
        <w:rPr>
          <w:rFonts w:ascii="Times New Arabic" w:hAnsi="Times New Arabic"/>
          <w:bCs/>
          <w:sz w:val="24"/>
          <w:szCs w:val="24"/>
        </w:rPr>
        <w:t xml:space="preserve"> 5, no. 1 (2024): 79–93. </w:t>
      </w:r>
      <w:hyperlink r:id="rId10" w:history="1">
        <w:r w:rsidRPr="00CF5E75">
          <w:rPr>
            <w:rStyle w:val="Hyperlink"/>
            <w:rFonts w:ascii="Times New Arabic" w:hAnsi="Times New Arabic"/>
            <w:bCs/>
            <w:sz w:val="24"/>
            <w:szCs w:val="24"/>
          </w:rPr>
          <w:t>https://doi.org/10.62359/dirayah.v5i1.440</w:t>
        </w:r>
      </w:hyperlink>
    </w:p>
    <w:p w14:paraId="384D0C4E" w14:textId="77777777" w:rsidR="00580E61" w:rsidRPr="00730665" w:rsidRDefault="00580E61" w:rsidP="00DA5429">
      <w:pPr>
        <w:keepNext/>
        <w:spacing w:after="0" w:line="360" w:lineRule="auto"/>
        <w:ind w:left="567" w:hanging="567"/>
        <w:jc w:val="both"/>
        <w:rPr>
          <w:rFonts w:ascii="Times New Arabic" w:hAnsi="Times New Arabic"/>
          <w:bCs/>
          <w:sz w:val="24"/>
          <w:szCs w:val="24"/>
        </w:rPr>
      </w:pPr>
      <w:r w:rsidRPr="00580E61">
        <w:rPr>
          <w:rFonts w:ascii="Times New Arabic" w:hAnsi="Times New Arabic"/>
          <w:bCs/>
          <w:sz w:val="24"/>
          <w:szCs w:val="24"/>
        </w:rPr>
        <w:t>Al</w:t>
      </w:r>
      <w:r w:rsidRPr="00730665">
        <w:rPr>
          <w:rFonts w:ascii="Times New Arabic" w:hAnsi="Times New Arabic"/>
          <w:bCs/>
          <w:sz w:val="24"/>
          <w:szCs w:val="24"/>
        </w:rPr>
        <w:t xml:space="preserve">-Khalidi, Shalah Abdul Fattah. </w:t>
      </w:r>
      <w:r w:rsidRPr="00DA5429">
        <w:rPr>
          <w:rFonts w:ascii="Times New Arabic" w:hAnsi="Times New Arabic"/>
          <w:bCs/>
          <w:i/>
          <w:iCs/>
          <w:sz w:val="24"/>
          <w:szCs w:val="24"/>
        </w:rPr>
        <w:t>Ibn Kathir’s Tafsir: Authentic, Systematic, Comprehensive</w:t>
      </w:r>
      <w:r w:rsidRPr="00730665">
        <w:rPr>
          <w:rFonts w:ascii="Times New Arabic" w:hAnsi="Times New Arabic"/>
          <w:bCs/>
          <w:sz w:val="24"/>
          <w:szCs w:val="24"/>
        </w:rPr>
        <w:t>. Translated by Engkos Kosasih et al. Vol. 2. Jakarta: Maghfirah Pustaka, 2017.</w:t>
      </w:r>
    </w:p>
    <w:p w14:paraId="7EDDDCCE" w14:textId="77777777" w:rsidR="00580E61" w:rsidRDefault="00580E61" w:rsidP="00730665">
      <w:pPr>
        <w:spacing w:after="0" w:line="360" w:lineRule="auto"/>
        <w:ind w:left="567" w:hanging="567"/>
        <w:jc w:val="both"/>
        <w:rPr>
          <w:rFonts w:ascii="Times New Arabic" w:hAnsi="Times New Arabic"/>
          <w:bCs/>
          <w:sz w:val="24"/>
          <w:szCs w:val="24"/>
        </w:rPr>
      </w:pPr>
      <w:r w:rsidRPr="00730665">
        <w:rPr>
          <w:rFonts w:ascii="Times New Arabic" w:hAnsi="Times New Arabic"/>
          <w:bCs/>
          <w:sz w:val="24"/>
          <w:szCs w:val="24"/>
        </w:rPr>
        <w:t>An-</w:t>
      </w:r>
      <w:r w:rsidRPr="00580E61">
        <w:rPr>
          <w:rFonts w:ascii="Times New Arabic" w:hAnsi="Times New Arabic"/>
          <w:bCs/>
          <w:sz w:val="24"/>
          <w:szCs w:val="24"/>
        </w:rPr>
        <w:t>Naisabury</w:t>
      </w:r>
      <w:r w:rsidRPr="00730665">
        <w:rPr>
          <w:rFonts w:ascii="Times New Arabic" w:hAnsi="Times New Arabic"/>
          <w:bCs/>
          <w:sz w:val="24"/>
          <w:szCs w:val="24"/>
        </w:rPr>
        <w:t xml:space="preserve">, Imam Abi Husein Muslim Ibn Hajjaj al-Qusyairy. </w:t>
      </w:r>
      <w:r w:rsidRPr="00DA5429">
        <w:rPr>
          <w:rFonts w:ascii="Times New Arabic" w:hAnsi="Times New Arabic"/>
          <w:bCs/>
          <w:i/>
          <w:iCs/>
          <w:sz w:val="24"/>
          <w:szCs w:val="24"/>
        </w:rPr>
        <w:t>Translation of Sahih Muslim</w:t>
      </w:r>
      <w:r w:rsidRPr="00730665">
        <w:rPr>
          <w:rFonts w:ascii="Times New Arabic" w:hAnsi="Times New Arabic"/>
          <w:bCs/>
          <w:sz w:val="24"/>
          <w:szCs w:val="24"/>
        </w:rPr>
        <w:t>, Volume 4. Translated by KH. Adib Bisri Musthofa. Kuala Lumpur: Victory Agency, 1994.</w:t>
      </w:r>
    </w:p>
    <w:p w14:paraId="206CCE30" w14:textId="77777777" w:rsidR="00580E61" w:rsidRPr="00730665" w:rsidRDefault="00580E61" w:rsidP="00730665">
      <w:pPr>
        <w:spacing w:after="0" w:line="360" w:lineRule="auto"/>
        <w:ind w:left="567" w:hanging="567"/>
        <w:jc w:val="both"/>
        <w:rPr>
          <w:rFonts w:ascii="Times New Arabic" w:hAnsi="Times New Arabic"/>
          <w:bCs/>
          <w:sz w:val="24"/>
          <w:szCs w:val="24"/>
        </w:rPr>
      </w:pPr>
      <w:r w:rsidRPr="00580E61">
        <w:rPr>
          <w:rFonts w:ascii="Times New Arabic" w:hAnsi="Times New Arabic"/>
          <w:bCs/>
          <w:sz w:val="24"/>
          <w:szCs w:val="24"/>
        </w:rPr>
        <w:t>Arni</w:t>
      </w:r>
      <w:r w:rsidRPr="00730665">
        <w:rPr>
          <w:rFonts w:ascii="Times New Arabic" w:hAnsi="Times New Arabic"/>
          <w:bCs/>
          <w:sz w:val="24"/>
          <w:szCs w:val="24"/>
        </w:rPr>
        <w:t xml:space="preserve">, Jani. </w:t>
      </w:r>
      <w:r w:rsidRPr="00DA5429">
        <w:rPr>
          <w:rFonts w:ascii="Times New Arabic" w:hAnsi="Times New Arabic"/>
          <w:bCs/>
          <w:i/>
          <w:iCs/>
          <w:sz w:val="24"/>
          <w:szCs w:val="24"/>
        </w:rPr>
        <w:t>Methods of Exegesis Research</w:t>
      </w:r>
      <w:r w:rsidRPr="00730665">
        <w:rPr>
          <w:rFonts w:ascii="Times New Arabic" w:hAnsi="Times New Arabic"/>
          <w:bCs/>
          <w:sz w:val="24"/>
          <w:szCs w:val="24"/>
        </w:rPr>
        <w:t>. Pekanbaru: Daulat Riau, 2013.</w:t>
      </w:r>
    </w:p>
    <w:p w14:paraId="092ECAF4" w14:textId="77777777" w:rsidR="00580E61" w:rsidRDefault="00580E61" w:rsidP="00730665">
      <w:pPr>
        <w:spacing w:after="0" w:line="360" w:lineRule="auto"/>
        <w:ind w:left="567" w:hanging="567"/>
        <w:jc w:val="both"/>
        <w:rPr>
          <w:rFonts w:ascii="Times New Arabic" w:hAnsi="Times New Arabic"/>
          <w:bCs/>
          <w:sz w:val="24"/>
          <w:szCs w:val="24"/>
        </w:rPr>
      </w:pPr>
      <w:r w:rsidRPr="00580E61">
        <w:rPr>
          <w:rFonts w:ascii="Times New Arabic" w:hAnsi="Times New Arabic"/>
          <w:bCs/>
          <w:sz w:val="24"/>
          <w:szCs w:val="24"/>
        </w:rPr>
        <w:t>Asman</w:t>
      </w:r>
      <w:r w:rsidRPr="00730665">
        <w:rPr>
          <w:rFonts w:ascii="Times New Arabic" w:hAnsi="Times New Arabic"/>
          <w:bCs/>
          <w:sz w:val="24"/>
          <w:szCs w:val="24"/>
        </w:rPr>
        <w:t xml:space="preserve">. “The Negative Impact of Online Gambling on Family Harmony from the Perspective of Islamic Family Law.” </w:t>
      </w:r>
      <w:r w:rsidRPr="00DA5429">
        <w:rPr>
          <w:rFonts w:ascii="Times New Arabic" w:hAnsi="Times New Arabic"/>
          <w:bCs/>
          <w:i/>
          <w:iCs/>
          <w:sz w:val="24"/>
          <w:szCs w:val="24"/>
        </w:rPr>
        <w:t>Ahlika: Journal of Family Law and Islamic Law</w:t>
      </w:r>
      <w:r w:rsidRPr="00730665">
        <w:rPr>
          <w:rFonts w:ascii="Times New Arabic" w:hAnsi="Times New Arabic"/>
          <w:bCs/>
          <w:sz w:val="24"/>
          <w:szCs w:val="24"/>
        </w:rPr>
        <w:t xml:space="preserve"> 1, no. 1 (2024): 11–35. </w:t>
      </w:r>
      <w:hyperlink r:id="rId11" w:history="1">
        <w:r w:rsidRPr="00CF5E75">
          <w:rPr>
            <w:rStyle w:val="Hyperlink"/>
            <w:rFonts w:ascii="Times New Arabic" w:hAnsi="Times New Arabic"/>
            <w:bCs/>
            <w:sz w:val="24"/>
            <w:szCs w:val="24"/>
          </w:rPr>
          <w:t>https://doi.org/10.70742/ahlika.v1i1.13</w:t>
        </w:r>
      </w:hyperlink>
      <w:r w:rsidRPr="00730665">
        <w:rPr>
          <w:rFonts w:ascii="Times New Arabic" w:hAnsi="Times New Arabic"/>
          <w:bCs/>
          <w:sz w:val="24"/>
          <w:szCs w:val="24"/>
        </w:rPr>
        <w:t>.</w:t>
      </w:r>
    </w:p>
    <w:p w14:paraId="632C9901" w14:textId="77777777" w:rsidR="00580E61" w:rsidRPr="00730665" w:rsidRDefault="00580E61" w:rsidP="00730665">
      <w:pPr>
        <w:spacing w:after="0" w:line="360" w:lineRule="auto"/>
        <w:ind w:left="567" w:hanging="567"/>
        <w:jc w:val="both"/>
        <w:rPr>
          <w:rFonts w:ascii="Times New Arabic" w:hAnsi="Times New Arabic"/>
          <w:bCs/>
          <w:sz w:val="24"/>
          <w:szCs w:val="24"/>
        </w:rPr>
      </w:pPr>
      <w:r w:rsidRPr="00534E22">
        <w:rPr>
          <w:rFonts w:ascii="Times New Arabic" w:hAnsi="Times New Arabic"/>
          <w:bCs/>
          <w:sz w:val="24"/>
          <w:szCs w:val="24"/>
          <w:lang w:val="pt-BR"/>
        </w:rPr>
        <w:t xml:space="preserve">As-Suyuthi, Imam. </w:t>
      </w:r>
      <w:r w:rsidRPr="00534E22">
        <w:rPr>
          <w:rFonts w:ascii="Times New Arabic" w:hAnsi="Times New Arabic"/>
          <w:bCs/>
          <w:i/>
          <w:iCs/>
          <w:sz w:val="24"/>
          <w:szCs w:val="24"/>
          <w:lang w:val="pt-BR"/>
        </w:rPr>
        <w:t>Asbabun Nuzul</w:t>
      </w:r>
      <w:r w:rsidRPr="00534E22">
        <w:rPr>
          <w:rFonts w:ascii="Times New Arabic" w:hAnsi="Times New Arabic"/>
          <w:bCs/>
          <w:sz w:val="24"/>
          <w:szCs w:val="24"/>
          <w:lang w:val="pt-BR"/>
        </w:rPr>
        <w:t xml:space="preserve">. </w:t>
      </w:r>
      <w:r w:rsidRPr="00580E61">
        <w:rPr>
          <w:rFonts w:ascii="Times New Arabic" w:hAnsi="Times New Arabic"/>
          <w:bCs/>
          <w:sz w:val="24"/>
          <w:szCs w:val="24"/>
        </w:rPr>
        <w:t>Translated by Muh. Miftahul Huda. Edited by Arif Hidayat and Ahmad Rifa'i. Solo: Insan Kamil, 2016.</w:t>
      </w:r>
    </w:p>
    <w:p w14:paraId="40F69534" w14:textId="77777777" w:rsidR="00580E61" w:rsidRDefault="00580E61" w:rsidP="00730665">
      <w:pPr>
        <w:spacing w:after="0" w:line="360" w:lineRule="auto"/>
        <w:ind w:left="567" w:hanging="567"/>
        <w:jc w:val="both"/>
        <w:rPr>
          <w:rFonts w:ascii="Times New Arabic" w:hAnsi="Times New Arabic"/>
          <w:bCs/>
          <w:sz w:val="24"/>
          <w:szCs w:val="24"/>
        </w:rPr>
      </w:pPr>
      <w:r w:rsidRPr="00730665">
        <w:rPr>
          <w:rFonts w:ascii="Times New Arabic" w:hAnsi="Times New Arabic"/>
          <w:bCs/>
          <w:sz w:val="24"/>
          <w:szCs w:val="24"/>
        </w:rPr>
        <w:t>Az-</w:t>
      </w:r>
      <w:r w:rsidRPr="00580E61">
        <w:rPr>
          <w:rFonts w:ascii="Times New Arabic" w:hAnsi="Times New Arabic"/>
          <w:bCs/>
          <w:sz w:val="24"/>
          <w:szCs w:val="24"/>
        </w:rPr>
        <w:t>Zuhaili</w:t>
      </w:r>
      <w:r w:rsidRPr="00730665">
        <w:rPr>
          <w:rFonts w:ascii="Times New Arabic" w:hAnsi="Times New Arabic"/>
          <w:bCs/>
          <w:sz w:val="24"/>
          <w:szCs w:val="24"/>
        </w:rPr>
        <w:t xml:space="preserve">, Wahbah. </w:t>
      </w:r>
      <w:r w:rsidRPr="00DA5429">
        <w:rPr>
          <w:rFonts w:ascii="Times New Arabic" w:hAnsi="Times New Arabic"/>
          <w:bCs/>
          <w:i/>
          <w:iCs/>
          <w:sz w:val="24"/>
          <w:szCs w:val="24"/>
        </w:rPr>
        <w:t>Tafsir Al-Munir: Aqidah, Shari’ah, Manhaj</w:t>
      </w:r>
      <w:r w:rsidRPr="00730665">
        <w:rPr>
          <w:rFonts w:ascii="Times New Arabic" w:hAnsi="Times New Arabic"/>
          <w:bCs/>
          <w:sz w:val="24"/>
          <w:szCs w:val="24"/>
        </w:rPr>
        <w:t>. Translated by Abdul Hayyie al-Kattani et al. Vol. 4. Jakarta: Gema Insani, 2013.</w:t>
      </w:r>
    </w:p>
    <w:p w14:paraId="4EC6BD90" w14:textId="77777777" w:rsidR="00580E61" w:rsidRDefault="00580E61" w:rsidP="00730665">
      <w:pPr>
        <w:spacing w:after="0" w:line="360" w:lineRule="auto"/>
        <w:ind w:left="567" w:hanging="567"/>
        <w:jc w:val="both"/>
        <w:rPr>
          <w:rFonts w:ascii="Times New Arabic" w:hAnsi="Times New Arabic"/>
          <w:bCs/>
          <w:sz w:val="24"/>
          <w:szCs w:val="24"/>
        </w:rPr>
      </w:pPr>
      <w:r w:rsidRPr="00580E61">
        <w:rPr>
          <w:rFonts w:ascii="Times New Arabic" w:hAnsi="Times New Arabic"/>
          <w:bCs/>
          <w:sz w:val="24"/>
          <w:szCs w:val="24"/>
        </w:rPr>
        <w:t>Bakhtiar</w:t>
      </w:r>
      <w:r w:rsidRPr="00730665">
        <w:rPr>
          <w:rFonts w:ascii="Times New Arabic" w:hAnsi="Times New Arabic"/>
          <w:bCs/>
          <w:sz w:val="24"/>
          <w:szCs w:val="24"/>
        </w:rPr>
        <w:t xml:space="preserve">, Septu Haudli, and Azizah Nur Adilah. “The Phenomenon of Online Gambling: Factors, Impacts, Legal Liability.” </w:t>
      </w:r>
      <w:r w:rsidRPr="00DA5429">
        <w:rPr>
          <w:rFonts w:ascii="Times New Arabic" w:hAnsi="Times New Arabic"/>
          <w:bCs/>
          <w:i/>
          <w:iCs/>
          <w:sz w:val="24"/>
          <w:szCs w:val="24"/>
        </w:rPr>
        <w:t xml:space="preserve">Innovative: Journal of </w:t>
      </w:r>
      <w:r w:rsidRPr="00DA5429">
        <w:rPr>
          <w:rFonts w:ascii="Times New Arabic" w:hAnsi="Times New Arabic"/>
          <w:bCs/>
          <w:i/>
          <w:iCs/>
          <w:sz w:val="24"/>
          <w:szCs w:val="24"/>
        </w:rPr>
        <w:lastRenderedPageBreak/>
        <w:t>Social Science Research</w:t>
      </w:r>
      <w:r>
        <w:rPr>
          <w:rFonts w:ascii="Times New Arabic" w:hAnsi="Times New Arabic"/>
          <w:bCs/>
          <w:sz w:val="24"/>
          <w:szCs w:val="24"/>
        </w:rPr>
        <w:t xml:space="preserve"> </w:t>
      </w:r>
      <w:r w:rsidRPr="00730665">
        <w:rPr>
          <w:rFonts w:ascii="Times New Arabic" w:hAnsi="Times New Arabic"/>
          <w:bCs/>
          <w:sz w:val="24"/>
          <w:szCs w:val="24"/>
        </w:rPr>
        <w:t>4, no. 3 (2024):</w:t>
      </w:r>
      <w:r>
        <w:rPr>
          <w:rFonts w:ascii="Times New Arabic" w:hAnsi="Times New Arabic"/>
          <w:bCs/>
          <w:sz w:val="24"/>
          <w:szCs w:val="24"/>
        </w:rPr>
        <w:t xml:space="preserve"> </w:t>
      </w:r>
      <w:r w:rsidRPr="00730665">
        <w:rPr>
          <w:rFonts w:ascii="Times New Arabic" w:hAnsi="Times New Arabic"/>
          <w:bCs/>
          <w:sz w:val="24"/>
          <w:szCs w:val="24"/>
        </w:rPr>
        <w:t xml:space="preserve">1016–1026. </w:t>
      </w:r>
      <w:hyperlink r:id="rId12" w:history="1">
        <w:r w:rsidRPr="00CF5E75">
          <w:rPr>
            <w:rStyle w:val="Hyperlink"/>
            <w:rFonts w:ascii="Times New Arabic" w:hAnsi="Times New Arabic"/>
            <w:bCs/>
            <w:sz w:val="24"/>
            <w:szCs w:val="24"/>
          </w:rPr>
          <w:t>https://doi.org/10.31004/innovative.v4i3.10547</w:t>
        </w:r>
      </w:hyperlink>
    </w:p>
    <w:p w14:paraId="396316B4" w14:textId="77777777" w:rsidR="00580E61" w:rsidRDefault="00580E61" w:rsidP="00730665">
      <w:pPr>
        <w:spacing w:after="0" w:line="360" w:lineRule="auto"/>
        <w:ind w:left="567" w:hanging="567"/>
        <w:jc w:val="both"/>
        <w:rPr>
          <w:rFonts w:ascii="Times New Arabic" w:hAnsi="Times New Arabic"/>
          <w:bCs/>
          <w:sz w:val="24"/>
          <w:szCs w:val="24"/>
        </w:rPr>
      </w:pPr>
      <w:r w:rsidRPr="00580E61">
        <w:rPr>
          <w:rFonts w:ascii="Times New Arabic" w:hAnsi="Times New Arabic"/>
          <w:bCs/>
          <w:sz w:val="24"/>
          <w:szCs w:val="24"/>
        </w:rPr>
        <w:t>Calado</w:t>
      </w:r>
      <w:r w:rsidRPr="00730665">
        <w:rPr>
          <w:rFonts w:ascii="Times New Arabic" w:hAnsi="Times New Arabic"/>
          <w:bCs/>
          <w:sz w:val="24"/>
          <w:szCs w:val="24"/>
        </w:rPr>
        <w:t xml:space="preserve">, Filipa, Mike Vernon, Filip Nuyens, Joana Alexandre, and Mark D. Griffiths. “How Does Religiosity Influence Gambling? A Cross-Cultural Study Between Portuguese and English Youth.” </w:t>
      </w:r>
      <w:r w:rsidRPr="00DA5429">
        <w:rPr>
          <w:rFonts w:ascii="Times New Arabic" w:hAnsi="Times New Arabic"/>
          <w:bCs/>
          <w:i/>
          <w:iCs/>
          <w:sz w:val="24"/>
          <w:szCs w:val="24"/>
        </w:rPr>
        <w:t>Journal of Gambling Studies</w:t>
      </w:r>
      <w:r w:rsidRPr="00730665">
        <w:rPr>
          <w:rFonts w:ascii="Times New Arabic" w:hAnsi="Times New Arabic"/>
          <w:bCs/>
          <w:sz w:val="24"/>
          <w:szCs w:val="24"/>
        </w:rPr>
        <w:t xml:space="preserve"> 40 (2024): 1005–1019. </w:t>
      </w:r>
      <w:hyperlink r:id="rId13" w:history="1">
        <w:r w:rsidRPr="00CF5E75">
          <w:rPr>
            <w:rStyle w:val="Hyperlink"/>
            <w:rFonts w:ascii="Times New Arabic" w:hAnsi="Times New Arabic"/>
            <w:bCs/>
            <w:sz w:val="24"/>
            <w:szCs w:val="24"/>
          </w:rPr>
          <w:t>https://doi.org/10.1007/s10899-023-10269-0</w:t>
        </w:r>
      </w:hyperlink>
    </w:p>
    <w:p w14:paraId="296AC59E" w14:textId="77777777" w:rsidR="00580E61" w:rsidRDefault="00580E61" w:rsidP="00730665">
      <w:pPr>
        <w:spacing w:after="0" w:line="360" w:lineRule="auto"/>
        <w:ind w:left="567" w:hanging="567"/>
        <w:jc w:val="both"/>
        <w:rPr>
          <w:rFonts w:ascii="Times New Arabic" w:hAnsi="Times New Arabic"/>
          <w:bCs/>
          <w:sz w:val="24"/>
          <w:szCs w:val="24"/>
        </w:rPr>
      </w:pPr>
      <w:r w:rsidRPr="00580E61">
        <w:rPr>
          <w:rFonts w:ascii="Times New Arabic" w:hAnsi="Times New Arabic"/>
          <w:bCs/>
          <w:sz w:val="24"/>
          <w:szCs w:val="24"/>
        </w:rPr>
        <w:t>Damanhuri</w:t>
      </w:r>
      <w:r w:rsidRPr="00730665">
        <w:rPr>
          <w:rFonts w:ascii="Times New Arabic" w:hAnsi="Times New Arabic"/>
          <w:bCs/>
          <w:sz w:val="24"/>
          <w:szCs w:val="24"/>
        </w:rPr>
        <w:t xml:space="preserve">, Ahmad Al Jawwas, Dwi Ari Kurniawati, and Abdul Wafi. “The Impact of Online Gambling on Family Harmony from an Islamic Law Perspective (Case Study of Watuagung Village, Bungah Subdistrict, Gresik Regency).” </w:t>
      </w:r>
      <w:r w:rsidRPr="00DA5429">
        <w:rPr>
          <w:rFonts w:ascii="Times New Arabic" w:hAnsi="Times New Arabic"/>
          <w:bCs/>
          <w:i/>
          <w:iCs/>
          <w:sz w:val="24"/>
          <w:szCs w:val="24"/>
        </w:rPr>
        <w:t>Hikmatina: Journal of Islamic Family Law</w:t>
      </w:r>
      <w:r w:rsidRPr="00730665">
        <w:rPr>
          <w:rFonts w:ascii="Times New Arabic" w:hAnsi="Times New Arabic"/>
          <w:bCs/>
          <w:sz w:val="24"/>
          <w:szCs w:val="24"/>
        </w:rPr>
        <w:t xml:space="preserve"> 6, no. 2 (2024).</w:t>
      </w:r>
    </w:p>
    <w:p w14:paraId="002C0A28" w14:textId="77777777" w:rsidR="00580E61" w:rsidRPr="00730665" w:rsidRDefault="00580E61" w:rsidP="00730665">
      <w:pPr>
        <w:spacing w:after="0" w:line="360" w:lineRule="auto"/>
        <w:ind w:left="567" w:hanging="567"/>
        <w:jc w:val="both"/>
        <w:rPr>
          <w:rFonts w:ascii="Times New Arabic" w:hAnsi="Times New Arabic"/>
          <w:bCs/>
          <w:sz w:val="24"/>
          <w:szCs w:val="24"/>
        </w:rPr>
      </w:pPr>
      <w:r w:rsidRPr="00580E61">
        <w:rPr>
          <w:rFonts w:ascii="Times New Arabic" w:hAnsi="Times New Arabic"/>
          <w:bCs/>
          <w:sz w:val="24"/>
          <w:szCs w:val="24"/>
        </w:rPr>
        <w:t xml:space="preserve">Financial </w:t>
      </w:r>
      <w:r w:rsidRPr="00730665">
        <w:rPr>
          <w:rFonts w:ascii="Times New Arabic" w:hAnsi="Times New Arabic"/>
          <w:bCs/>
          <w:sz w:val="24"/>
          <w:szCs w:val="24"/>
        </w:rPr>
        <w:t xml:space="preserve">Transaction Reporting and Analysis Center (PPATK). </w:t>
      </w:r>
      <w:r w:rsidRPr="00845818">
        <w:rPr>
          <w:rFonts w:ascii="Times New Arabic" w:hAnsi="Times New Arabic"/>
          <w:bCs/>
          <w:i/>
          <w:iCs/>
          <w:sz w:val="24"/>
          <w:szCs w:val="24"/>
        </w:rPr>
        <w:t>PPATK Strategic Achievements Report for 2025: Safeguarding the Nation’s Economic Sovereignty and Integrity.</w:t>
      </w:r>
      <w:r w:rsidRPr="00730665">
        <w:rPr>
          <w:rFonts w:ascii="Times New Arabic" w:hAnsi="Times New Arabic"/>
          <w:bCs/>
          <w:sz w:val="24"/>
          <w:szCs w:val="24"/>
        </w:rPr>
        <w:t xml:space="preserve"> Jakarta, January 28, 2026.</w:t>
      </w:r>
    </w:p>
    <w:p w14:paraId="348E4625" w14:textId="77777777" w:rsidR="00580E61" w:rsidRPr="00534E22" w:rsidRDefault="00580E61" w:rsidP="00730665">
      <w:pPr>
        <w:spacing w:after="0" w:line="360" w:lineRule="auto"/>
        <w:ind w:left="567" w:hanging="567"/>
        <w:jc w:val="both"/>
        <w:rPr>
          <w:rFonts w:ascii="Times New Arabic" w:hAnsi="Times New Arabic"/>
          <w:bCs/>
          <w:sz w:val="24"/>
          <w:szCs w:val="24"/>
          <w:lang w:val="pt-BR"/>
        </w:rPr>
      </w:pPr>
      <w:bookmarkStart w:id="0" w:name="_Hlk232028411"/>
      <w:r w:rsidRPr="00580E61">
        <w:rPr>
          <w:rFonts w:ascii="Times New Arabic" w:hAnsi="Times New Arabic"/>
          <w:bCs/>
          <w:sz w:val="24"/>
          <w:szCs w:val="24"/>
        </w:rPr>
        <w:t xml:space="preserve">Financial </w:t>
      </w:r>
      <w:r w:rsidRPr="00730665">
        <w:rPr>
          <w:rFonts w:ascii="Times New Arabic" w:hAnsi="Times New Arabic"/>
          <w:bCs/>
          <w:sz w:val="24"/>
          <w:szCs w:val="24"/>
        </w:rPr>
        <w:t xml:space="preserve">Transaction Reporting and Analysis Center (PPATK). </w:t>
      </w:r>
      <w:r w:rsidRPr="00845818">
        <w:rPr>
          <w:rFonts w:ascii="Times New Arabic" w:hAnsi="Times New Arabic"/>
          <w:bCs/>
          <w:i/>
          <w:iCs/>
          <w:sz w:val="24"/>
          <w:szCs w:val="24"/>
        </w:rPr>
        <w:t>PPATK’s Integrity in Safeguarding Indonesia’s Asta Cita: 2024 Annual Report</w:t>
      </w:r>
      <w:r w:rsidRPr="00730665">
        <w:rPr>
          <w:rFonts w:ascii="Times New Arabic" w:hAnsi="Times New Arabic"/>
          <w:bCs/>
          <w:sz w:val="24"/>
          <w:szCs w:val="24"/>
        </w:rPr>
        <w:t xml:space="preserve">. </w:t>
      </w:r>
      <w:r w:rsidRPr="00534E22">
        <w:rPr>
          <w:rFonts w:ascii="Times New Arabic" w:hAnsi="Times New Arabic"/>
          <w:bCs/>
          <w:sz w:val="24"/>
          <w:szCs w:val="24"/>
          <w:lang w:val="pt-BR"/>
        </w:rPr>
        <w:t>Jakarta: PPATK, 2024.</w:t>
      </w:r>
    </w:p>
    <w:bookmarkEnd w:id="0"/>
    <w:p w14:paraId="5125DA53" w14:textId="77777777" w:rsidR="00580E61" w:rsidRDefault="00580E61" w:rsidP="00730665">
      <w:pPr>
        <w:spacing w:after="0" w:line="360" w:lineRule="auto"/>
        <w:ind w:left="567" w:hanging="567"/>
        <w:jc w:val="both"/>
        <w:rPr>
          <w:rFonts w:ascii="Times New Arabic" w:hAnsi="Times New Arabic"/>
          <w:bCs/>
          <w:sz w:val="24"/>
          <w:szCs w:val="24"/>
        </w:rPr>
      </w:pPr>
      <w:r w:rsidRPr="00534E22">
        <w:rPr>
          <w:rFonts w:ascii="Times New Arabic" w:hAnsi="Times New Arabic"/>
          <w:bCs/>
          <w:sz w:val="24"/>
          <w:szCs w:val="24"/>
          <w:lang w:val="pt-BR"/>
        </w:rPr>
        <w:t xml:space="preserve">Ghelfi, Michela, Paola Scattola, Gilberto Giudici, and Veronica Velasco. </w:t>
      </w:r>
      <w:r w:rsidRPr="00730665">
        <w:rPr>
          <w:rFonts w:ascii="Times New Arabic" w:hAnsi="Times New Arabic"/>
          <w:bCs/>
          <w:sz w:val="24"/>
          <w:szCs w:val="24"/>
        </w:rPr>
        <w:t xml:space="preserve">“Online Gambling: A Systematic Review of Risk and Protective Factors in the Adult Population.” </w:t>
      </w:r>
      <w:r w:rsidRPr="00DA5429">
        <w:rPr>
          <w:rFonts w:ascii="Times New Arabic" w:hAnsi="Times New Arabic"/>
          <w:bCs/>
          <w:i/>
          <w:iCs/>
          <w:sz w:val="24"/>
          <w:szCs w:val="24"/>
        </w:rPr>
        <w:t>Journal of Gambling Studies</w:t>
      </w:r>
      <w:r w:rsidRPr="00730665">
        <w:rPr>
          <w:rFonts w:ascii="Times New Arabic" w:hAnsi="Times New Arabic"/>
          <w:bCs/>
          <w:sz w:val="24"/>
          <w:szCs w:val="24"/>
        </w:rPr>
        <w:t xml:space="preserve"> 40 (2024): 673–699. </w:t>
      </w:r>
      <w:hyperlink r:id="rId14" w:history="1">
        <w:r w:rsidRPr="00CF5E75">
          <w:rPr>
            <w:rStyle w:val="Hyperlink"/>
            <w:rFonts w:ascii="Times New Arabic" w:hAnsi="Times New Arabic"/>
            <w:bCs/>
            <w:sz w:val="24"/>
            <w:szCs w:val="24"/>
          </w:rPr>
          <w:t>https://doi.org/10.1007/s10899-023-10258-3</w:t>
        </w:r>
      </w:hyperlink>
    </w:p>
    <w:p w14:paraId="3435850F" w14:textId="77777777" w:rsidR="00580E61" w:rsidRDefault="00580E61" w:rsidP="00730665">
      <w:pPr>
        <w:spacing w:after="0" w:line="360" w:lineRule="auto"/>
        <w:ind w:left="567" w:hanging="567"/>
        <w:jc w:val="both"/>
        <w:rPr>
          <w:rFonts w:ascii="Times New Arabic" w:hAnsi="Times New Arabic"/>
          <w:bCs/>
          <w:sz w:val="24"/>
          <w:szCs w:val="24"/>
        </w:rPr>
      </w:pPr>
      <w:r w:rsidRPr="00580E61">
        <w:rPr>
          <w:rFonts w:ascii="Times New Arabic" w:hAnsi="Times New Arabic"/>
          <w:bCs/>
          <w:sz w:val="24"/>
          <w:szCs w:val="24"/>
        </w:rPr>
        <w:t>Goodwin</w:t>
      </w:r>
      <w:r w:rsidRPr="00730665">
        <w:rPr>
          <w:rFonts w:ascii="Times New Arabic" w:hAnsi="Times New Arabic"/>
          <w:bCs/>
          <w:sz w:val="24"/>
          <w:szCs w:val="24"/>
        </w:rPr>
        <w:t xml:space="preserve">, Belinda C., Matthew Browne, Matthew Rockloff, and Judy Rose. "A Typical Problem Gambler Affects Six Others." </w:t>
      </w:r>
      <w:r w:rsidRPr="00DA5429">
        <w:rPr>
          <w:rFonts w:ascii="Times New Arabic" w:hAnsi="Times New Arabic"/>
          <w:bCs/>
          <w:i/>
          <w:iCs/>
          <w:sz w:val="24"/>
          <w:szCs w:val="24"/>
        </w:rPr>
        <w:t>International Gambling Studies</w:t>
      </w:r>
      <w:r w:rsidRPr="00730665">
        <w:rPr>
          <w:rFonts w:ascii="Times New Arabic" w:hAnsi="Times New Arabic"/>
          <w:bCs/>
          <w:sz w:val="24"/>
          <w:szCs w:val="24"/>
        </w:rPr>
        <w:t xml:space="preserve"> 17, no. 2 (2017): 276–289. </w:t>
      </w:r>
      <w:hyperlink r:id="rId15" w:history="1">
        <w:r w:rsidRPr="00CF5E75">
          <w:rPr>
            <w:rStyle w:val="Hyperlink"/>
            <w:rFonts w:ascii="Times New Arabic" w:hAnsi="Times New Arabic"/>
            <w:bCs/>
            <w:sz w:val="24"/>
            <w:szCs w:val="24"/>
          </w:rPr>
          <w:t>https://doi.org/10.1080/14459795.2017.1331252</w:t>
        </w:r>
      </w:hyperlink>
    </w:p>
    <w:p w14:paraId="043E614D" w14:textId="77777777" w:rsidR="00580E61" w:rsidRDefault="00580E61" w:rsidP="00730665">
      <w:pPr>
        <w:spacing w:after="0" w:line="360" w:lineRule="auto"/>
        <w:ind w:left="567" w:hanging="567"/>
        <w:jc w:val="both"/>
        <w:rPr>
          <w:rFonts w:ascii="Times New Arabic" w:hAnsi="Times New Arabic"/>
          <w:bCs/>
          <w:sz w:val="24"/>
          <w:szCs w:val="24"/>
        </w:rPr>
      </w:pPr>
      <w:r w:rsidRPr="00580E61">
        <w:rPr>
          <w:rFonts w:ascii="Times New Arabic" w:hAnsi="Times New Arabic"/>
          <w:bCs/>
          <w:sz w:val="24"/>
          <w:szCs w:val="24"/>
        </w:rPr>
        <w:lastRenderedPageBreak/>
        <w:t>Haifa</w:t>
      </w:r>
      <w:r w:rsidRPr="00730665">
        <w:rPr>
          <w:rFonts w:ascii="Times New Arabic" w:hAnsi="Times New Arabic"/>
          <w:bCs/>
          <w:sz w:val="24"/>
          <w:szCs w:val="24"/>
        </w:rPr>
        <w:t xml:space="preserve">, Nurul Melani, Dio Kurniawan, and Syafwan Kholik. “Interpretation of Verses on the Influence of Family, Academic, and Social Environments as Education.” </w:t>
      </w:r>
      <w:r w:rsidRPr="00DA5429">
        <w:rPr>
          <w:rFonts w:ascii="Times New Arabic" w:hAnsi="Times New Arabic"/>
          <w:bCs/>
          <w:i/>
          <w:iCs/>
          <w:sz w:val="24"/>
          <w:szCs w:val="24"/>
        </w:rPr>
        <w:t>At-Tarbiyah: Journal of Islamic Religious Education and Research</w:t>
      </w:r>
      <w:r w:rsidRPr="00730665">
        <w:rPr>
          <w:rFonts w:ascii="Times New Arabic" w:hAnsi="Times New Arabic"/>
          <w:bCs/>
          <w:sz w:val="24"/>
          <w:szCs w:val="24"/>
        </w:rPr>
        <w:t xml:space="preserve"> 2, no. 1 (2024): 532–541. </w:t>
      </w:r>
      <w:hyperlink r:id="rId16" w:history="1">
        <w:r w:rsidRPr="00CF5E75">
          <w:rPr>
            <w:rStyle w:val="Hyperlink"/>
            <w:rFonts w:ascii="Times New Arabic" w:hAnsi="Times New Arabic"/>
            <w:bCs/>
            <w:sz w:val="24"/>
            <w:szCs w:val="24"/>
          </w:rPr>
          <w:t>https://journal.staittd.ac.id/index.php/at/article/view/192</w:t>
        </w:r>
      </w:hyperlink>
    </w:p>
    <w:p w14:paraId="68277A12" w14:textId="77777777" w:rsidR="00580E61" w:rsidRPr="00580E61" w:rsidRDefault="00580E61" w:rsidP="005D6571">
      <w:pPr>
        <w:spacing w:after="0" w:line="360" w:lineRule="auto"/>
        <w:ind w:left="567" w:hanging="567"/>
        <w:jc w:val="both"/>
        <w:rPr>
          <w:rFonts w:ascii="Times New Arabic" w:hAnsi="Times New Arabic"/>
          <w:bCs/>
          <w:color w:val="3333CC"/>
          <w:sz w:val="24"/>
          <w:szCs w:val="24"/>
        </w:rPr>
      </w:pPr>
      <w:r w:rsidRPr="00580E61">
        <w:rPr>
          <w:rFonts w:ascii="Times New Arabic" w:hAnsi="Times New Arabic"/>
          <w:bCs/>
          <w:sz w:val="24"/>
          <w:szCs w:val="24"/>
        </w:rPr>
        <w:t>Hanafi</w:t>
      </w:r>
      <w:r w:rsidRPr="000E13E7">
        <w:rPr>
          <w:rFonts w:ascii="Times New Arabic" w:hAnsi="Times New Arabic"/>
          <w:bCs/>
          <w:sz w:val="24"/>
          <w:szCs w:val="24"/>
        </w:rPr>
        <w:t xml:space="preserve">, Muhammad Ridhwan, Imamudin Al Fathir, Inayya Az-zahra, and Asyari Hasan. “The Urgency of Sharia Education Regarding the High Prevalence of Online Gambling in Society and Its Impact on the Economy.” </w:t>
      </w:r>
      <w:r w:rsidRPr="005D6571">
        <w:rPr>
          <w:rFonts w:ascii="Times New Arabic" w:hAnsi="Times New Arabic"/>
          <w:bCs/>
          <w:i/>
          <w:iCs/>
          <w:sz w:val="24"/>
          <w:szCs w:val="24"/>
        </w:rPr>
        <w:t>Jurnal Ilmiah Wahana Pendidikan</w:t>
      </w:r>
      <w:r w:rsidRPr="000E13E7">
        <w:rPr>
          <w:rFonts w:ascii="Times New Arabic" w:hAnsi="Times New Arabic"/>
          <w:bCs/>
          <w:sz w:val="24"/>
          <w:szCs w:val="24"/>
        </w:rPr>
        <w:t xml:space="preserve"> 10, no. 17 (2024): 551–566. </w:t>
      </w:r>
      <w:hyperlink r:id="rId17" w:history="1">
        <w:r w:rsidRPr="00580E61">
          <w:rPr>
            <w:rStyle w:val="Hyperlink"/>
            <w:rFonts w:ascii="Times New Arabic" w:hAnsi="Times New Arabic"/>
            <w:bCs/>
            <w:color w:val="3333CC"/>
            <w:sz w:val="24"/>
            <w:szCs w:val="24"/>
          </w:rPr>
          <w:t>https://doi.org/10.5281/zenodo.13897768</w:t>
        </w:r>
      </w:hyperlink>
      <w:r w:rsidRPr="00580E61">
        <w:rPr>
          <w:rFonts w:ascii="Times New Arabic" w:hAnsi="Times New Arabic"/>
          <w:bCs/>
          <w:color w:val="3333CC"/>
          <w:sz w:val="24"/>
          <w:szCs w:val="24"/>
        </w:rPr>
        <w:t>.</w:t>
      </w:r>
    </w:p>
    <w:p w14:paraId="4D830018" w14:textId="77777777" w:rsidR="00580E61" w:rsidRDefault="00580E61" w:rsidP="00730665">
      <w:pPr>
        <w:spacing w:after="0" w:line="360" w:lineRule="auto"/>
        <w:ind w:left="567" w:hanging="567"/>
        <w:jc w:val="both"/>
        <w:rPr>
          <w:rFonts w:ascii="Times New Arabic" w:hAnsi="Times New Arabic"/>
          <w:bCs/>
          <w:sz w:val="24"/>
          <w:szCs w:val="24"/>
        </w:rPr>
      </w:pPr>
      <w:r w:rsidRPr="00580E61">
        <w:rPr>
          <w:rFonts w:ascii="Times New Arabic" w:hAnsi="Times New Arabic"/>
          <w:bCs/>
          <w:sz w:val="24"/>
          <w:szCs w:val="24"/>
        </w:rPr>
        <w:t>Hilyatin</w:t>
      </w:r>
      <w:r w:rsidRPr="00730665">
        <w:rPr>
          <w:rFonts w:ascii="Times New Arabic" w:hAnsi="Times New Arabic"/>
          <w:bCs/>
          <w:sz w:val="24"/>
          <w:szCs w:val="24"/>
        </w:rPr>
        <w:t>, Dewi Laela. “The Prohibition of Mais</w:t>
      </w:r>
      <w:r w:rsidRPr="00730665">
        <w:rPr>
          <w:rFonts w:ascii="Cambria" w:hAnsi="Cambria" w:cs="Cambria"/>
          <w:bCs/>
          <w:sz w:val="24"/>
          <w:szCs w:val="24"/>
        </w:rPr>
        <w:t>ī</w:t>
      </w:r>
      <w:r w:rsidRPr="00730665">
        <w:rPr>
          <w:rFonts w:ascii="Times New Arabic" w:hAnsi="Times New Arabic"/>
          <w:bCs/>
          <w:sz w:val="24"/>
          <w:szCs w:val="24"/>
        </w:rPr>
        <w:t>r in the Qur</w:t>
      </w:r>
      <w:r w:rsidRPr="00730665">
        <w:rPr>
          <w:rFonts w:ascii="Times New Arabic" w:hAnsi="Times New Arabic" w:cs="Times New Arabic"/>
          <w:bCs/>
          <w:sz w:val="24"/>
          <w:szCs w:val="24"/>
        </w:rPr>
        <w:t>’</w:t>
      </w:r>
      <w:r w:rsidRPr="00730665">
        <w:rPr>
          <w:rFonts w:ascii="Times New Arabic" w:hAnsi="Times New Arabic"/>
          <w:bCs/>
          <w:sz w:val="24"/>
          <w:szCs w:val="24"/>
        </w:rPr>
        <w:t>an and Its Relevance to the Economy.</w:t>
      </w:r>
      <w:r w:rsidRPr="00730665">
        <w:rPr>
          <w:rFonts w:ascii="Times New Arabic" w:hAnsi="Times New Arabic" w:cs="Times New Arabic"/>
          <w:bCs/>
          <w:sz w:val="24"/>
          <w:szCs w:val="24"/>
        </w:rPr>
        <w:t>”</w:t>
      </w:r>
      <w:r w:rsidRPr="00730665">
        <w:rPr>
          <w:rFonts w:ascii="Times New Arabic" w:hAnsi="Times New Arabic"/>
          <w:bCs/>
          <w:sz w:val="24"/>
          <w:szCs w:val="24"/>
        </w:rPr>
        <w:t xml:space="preserve"> </w:t>
      </w:r>
      <w:r w:rsidRPr="00DA5429">
        <w:rPr>
          <w:rFonts w:ascii="Times New Arabic" w:hAnsi="Times New Arabic"/>
          <w:bCs/>
          <w:i/>
          <w:iCs/>
          <w:sz w:val="24"/>
          <w:szCs w:val="24"/>
        </w:rPr>
        <w:t>MAGHZA: Journal of Qur</w:t>
      </w:r>
      <w:r w:rsidRPr="00DA5429">
        <w:rPr>
          <w:rFonts w:ascii="Times New Arabic" w:hAnsi="Times New Arabic" w:cs="Times New Arabic"/>
          <w:bCs/>
          <w:i/>
          <w:iCs/>
          <w:sz w:val="24"/>
          <w:szCs w:val="24"/>
        </w:rPr>
        <w:t>’</w:t>
      </w:r>
      <w:r w:rsidRPr="00DA5429">
        <w:rPr>
          <w:rFonts w:ascii="Times New Arabic" w:hAnsi="Times New Arabic"/>
          <w:bCs/>
          <w:i/>
          <w:iCs/>
          <w:sz w:val="24"/>
          <w:szCs w:val="24"/>
        </w:rPr>
        <w:t>anic Studies and Exegesis</w:t>
      </w:r>
      <w:r w:rsidRPr="00730665">
        <w:rPr>
          <w:rFonts w:ascii="Times New Arabic" w:hAnsi="Times New Arabic"/>
          <w:bCs/>
          <w:sz w:val="24"/>
          <w:szCs w:val="24"/>
        </w:rPr>
        <w:t xml:space="preserve"> 6, no. 1 (2021): 16–29. </w:t>
      </w:r>
      <w:hyperlink r:id="rId18" w:history="1">
        <w:r w:rsidRPr="00CF5E75">
          <w:rPr>
            <w:rStyle w:val="Hyperlink"/>
            <w:rFonts w:ascii="Times New Arabic" w:hAnsi="Times New Arabic"/>
            <w:bCs/>
            <w:sz w:val="24"/>
            <w:szCs w:val="24"/>
          </w:rPr>
          <w:t>https://doi.org/10.24090/maghza.v6i1.4507</w:t>
        </w:r>
      </w:hyperlink>
      <w:r w:rsidRPr="00730665">
        <w:rPr>
          <w:rFonts w:ascii="Times New Arabic" w:hAnsi="Times New Arabic"/>
          <w:bCs/>
          <w:sz w:val="24"/>
          <w:szCs w:val="24"/>
        </w:rPr>
        <w:t>.</w:t>
      </w:r>
    </w:p>
    <w:p w14:paraId="35A786B7" w14:textId="77777777" w:rsidR="00580E61" w:rsidRDefault="00580E61" w:rsidP="00730665">
      <w:pPr>
        <w:spacing w:after="0" w:line="360" w:lineRule="auto"/>
        <w:ind w:left="567" w:hanging="567"/>
        <w:jc w:val="both"/>
        <w:rPr>
          <w:rFonts w:ascii="Times New Arabic" w:hAnsi="Times New Arabic"/>
          <w:bCs/>
          <w:sz w:val="24"/>
          <w:szCs w:val="24"/>
        </w:rPr>
      </w:pPr>
      <w:r w:rsidRPr="00580E61">
        <w:rPr>
          <w:rFonts w:ascii="Times New Arabic" w:hAnsi="Times New Arabic"/>
          <w:bCs/>
          <w:sz w:val="24"/>
          <w:szCs w:val="24"/>
        </w:rPr>
        <w:t>Imanda</w:t>
      </w:r>
      <w:r w:rsidRPr="00730665">
        <w:rPr>
          <w:rFonts w:ascii="Times New Arabic" w:hAnsi="Times New Arabic"/>
          <w:bCs/>
          <w:sz w:val="24"/>
          <w:szCs w:val="24"/>
        </w:rPr>
        <w:t xml:space="preserve">, Iqmal, Tan Dwi Rizki Ramadini, and Nurhafiza. “The Impact of Gambling and Illegal Online Lending.” </w:t>
      </w:r>
      <w:r w:rsidRPr="00DA5429">
        <w:rPr>
          <w:rFonts w:ascii="Times New Arabic" w:hAnsi="Times New Arabic"/>
          <w:bCs/>
          <w:i/>
          <w:iCs/>
          <w:sz w:val="24"/>
          <w:szCs w:val="24"/>
        </w:rPr>
        <w:t xml:space="preserve">Al-Maal: Journal of Islamic Economic Studies </w:t>
      </w:r>
      <w:r w:rsidRPr="00730665">
        <w:rPr>
          <w:rFonts w:ascii="Times New Arabic" w:hAnsi="Times New Arabic"/>
          <w:bCs/>
          <w:sz w:val="24"/>
          <w:szCs w:val="24"/>
        </w:rPr>
        <w:t>1, no. 1 (2026): 50–56.</w:t>
      </w:r>
    </w:p>
    <w:p w14:paraId="76E7E6D4" w14:textId="77777777" w:rsidR="00580E61" w:rsidRPr="00730665" w:rsidRDefault="00580E61" w:rsidP="00730665">
      <w:pPr>
        <w:spacing w:after="0" w:line="360" w:lineRule="auto"/>
        <w:ind w:left="567" w:hanging="567"/>
        <w:jc w:val="both"/>
        <w:rPr>
          <w:rFonts w:ascii="Times New Arabic" w:hAnsi="Times New Arabic"/>
          <w:bCs/>
          <w:sz w:val="24"/>
          <w:szCs w:val="24"/>
        </w:rPr>
      </w:pPr>
      <w:r w:rsidRPr="00580E61">
        <w:rPr>
          <w:rFonts w:ascii="Times New Arabic" w:hAnsi="Times New Arabic"/>
          <w:bCs/>
          <w:sz w:val="24"/>
          <w:szCs w:val="24"/>
        </w:rPr>
        <w:t>Indonesia</w:t>
      </w:r>
      <w:r w:rsidRPr="00730665">
        <w:rPr>
          <w:rFonts w:ascii="Times New Arabic" w:hAnsi="Times New Arabic"/>
          <w:bCs/>
          <w:sz w:val="24"/>
          <w:szCs w:val="24"/>
        </w:rPr>
        <w:t xml:space="preserve">. </w:t>
      </w:r>
      <w:r w:rsidRPr="00DA5429">
        <w:rPr>
          <w:rFonts w:ascii="Times New Arabic" w:hAnsi="Times New Arabic"/>
          <w:bCs/>
          <w:i/>
          <w:iCs/>
          <w:sz w:val="24"/>
          <w:szCs w:val="24"/>
        </w:rPr>
        <w:t>Law No. 52 of 2009 on Population Development and Family Development</w:t>
      </w:r>
      <w:r w:rsidRPr="00730665">
        <w:rPr>
          <w:rFonts w:ascii="Times New Arabic" w:hAnsi="Times New Arabic"/>
          <w:bCs/>
          <w:sz w:val="24"/>
          <w:szCs w:val="24"/>
        </w:rPr>
        <w:t>. Law No. 52 of 2009. Official Gazette of the Republic of Indonesia Year 2009 No. 161.</w:t>
      </w:r>
    </w:p>
    <w:p w14:paraId="398F56BE" w14:textId="77777777" w:rsidR="00580E61" w:rsidRDefault="00580E61" w:rsidP="00730665">
      <w:pPr>
        <w:spacing w:after="0" w:line="360" w:lineRule="auto"/>
        <w:ind w:left="567" w:hanging="567"/>
        <w:jc w:val="both"/>
        <w:rPr>
          <w:rFonts w:ascii="Times New Arabic" w:hAnsi="Times New Arabic"/>
          <w:bCs/>
          <w:sz w:val="24"/>
          <w:szCs w:val="24"/>
        </w:rPr>
      </w:pPr>
      <w:r w:rsidRPr="00580E61">
        <w:rPr>
          <w:rFonts w:ascii="Times New Arabic" w:hAnsi="Times New Arabic"/>
          <w:bCs/>
          <w:sz w:val="24"/>
          <w:szCs w:val="24"/>
        </w:rPr>
        <w:t>Kusumo</w:t>
      </w:r>
      <w:r w:rsidRPr="00730665">
        <w:rPr>
          <w:rFonts w:ascii="Times New Arabic" w:hAnsi="Times New Arabic"/>
          <w:bCs/>
          <w:sz w:val="24"/>
          <w:szCs w:val="24"/>
        </w:rPr>
        <w:t xml:space="preserve">, Dimas Noto, Muhammad Rizky Ramadhan, and Sulistyani Febrianti. “The Rise of Online Gambling Among Urban and Rural Communities.” </w:t>
      </w:r>
      <w:r w:rsidRPr="00845818">
        <w:rPr>
          <w:rFonts w:ascii="Times New Arabic" w:hAnsi="Times New Arabic"/>
          <w:bCs/>
          <w:i/>
          <w:iCs/>
          <w:sz w:val="24"/>
          <w:szCs w:val="24"/>
        </w:rPr>
        <w:t>Perspektif</w:t>
      </w:r>
      <w:r w:rsidRPr="00730665">
        <w:rPr>
          <w:rFonts w:ascii="Times New Arabic" w:hAnsi="Times New Arabic"/>
          <w:bCs/>
          <w:sz w:val="24"/>
          <w:szCs w:val="24"/>
        </w:rPr>
        <w:t xml:space="preserve"> 2, no. 2 (2023): 225–232. </w:t>
      </w:r>
      <w:hyperlink r:id="rId19" w:history="1">
        <w:r w:rsidRPr="00CF5E75">
          <w:rPr>
            <w:rStyle w:val="Hyperlink"/>
            <w:rFonts w:ascii="Times New Arabic" w:hAnsi="Times New Arabic"/>
            <w:bCs/>
            <w:sz w:val="24"/>
            <w:szCs w:val="24"/>
          </w:rPr>
          <w:t>https://doi.org/10.53947/perspektif.v2i2.391</w:t>
        </w:r>
      </w:hyperlink>
      <w:r w:rsidRPr="00730665">
        <w:rPr>
          <w:rFonts w:ascii="Times New Arabic" w:hAnsi="Times New Arabic"/>
          <w:bCs/>
          <w:sz w:val="24"/>
          <w:szCs w:val="24"/>
        </w:rPr>
        <w:t>.</w:t>
      </w:r>
    </w:p>
    <w:p w14:paraId="4AFF7716" w14:textId="77777777" w:rsidR="00580E61" w:rsidRPr="00534E22" w:rsidRDefault="00580E61" w:rsidP="00730665">
      <w:pPr>
        <w:spacing w:after="0" w:line="360" w:lineRule="auto"/>
        <w:ind w:left="567" w:hanging="567"/>
        <w:jc w:val="both"/>
        <w:rPr>
          <w:rFonts w:ascii="Times New Arabic" w:hAnsi="Times New Arabic"/>
          <w:bCs/>
          <w:sz w:val="24"/>
          <w:szCs w:val="24"/>
          <w:lang w:val="pt-BR"/>
        </w:rPr>
      </w:pPr>
      <w:r w:rsidRPr="00580E61">
        <w:rPr>
          <w:rFonts w:ascii="Times New Arabic" w:hAnsi="Times New Arabic"/>
          <w:bCs/>
          <w:sz w:val="24"/>
          <w:szCs w:val="24"/>
        </w:rPr>
        <w:t xml:space="preserve">Language </w:t>
      </w:r>
      <w:r w:rsidRPr="00730665">
        <w:rPr>
          <w:rFonts w:ascii="Times New Arabic" w:hAnsi="Times New Arabic"/>
          <w:bCs/>
          <w:sz w:val="24"/>
          <w:szCs w:val="24"/>
        </w:rPr>
        <w:t xml:space="preserve">Center. </w:t>
      </w:r>
      <w:r w:rsidRPr="00845818">
        <w:rPr>
          <w:rFonts w:ascii="Times New Arabic" w:hAnsi="Times New Arabic"/>
          <w:bCs/>
          <w:i/>
          <w:iCs/>
          <w:sz w:val="24"/>
          <w:szCs w:val="24"/>
        </w:rPr>
        <w:t>Indonesian Dictionary</w:t>
      </w:r>
      <w:r w:rsidRPr="00730665">
        <w:rPr>
          <w:rFonts w:ascii="Times New Arabic" w:hAnsi="Times New Arabic"/>
          <w:bCs/>
          <w:sz w:val="24"/>
          <w:szCs w:val="24"/>
        </w:rPr>
        <w:t xml:space="preserve">. </w:t>
      </w:r>
      <w:r w:rsidRPr="00534E22">
        <w:rPr>
          <w:rFonts w:ascii="Times New Arabic" w:hAnsi="Times New Arabic"/>
          <w:bCs/>
          <w:sz w:val="24"/>
          <w:szCs w:val="24"/>
          <w:lang w:val="pt-BR"/>
        </w:rPr>
        <w:t>Jakarta: Language Center, 2008.</w:t>
      </w:r>
    </w:p>
    <w:p w14:paraId="45886C72" w14:textId="77777777" w:rsidR="00580E61" w:rsidRDefault="00580E61" w:rsidP="00730665">
      <w:pPr>
        <w:spacing w:after="0" w:line="360" w:lineRule="auto"/>
        <w:ind w:left="567" w:hanging="567"/>
        <w:jc w:val="both"/>
        <w:rPr>
          <w:rFonts w:ascii="Times New Arabic" w:hAnsi="Times New Arabic"/>
          <w:bCs/>
          <w:sz w:val="24"/>
          <w:szCs w:val="24"/>
        </w:rPr>
      </w:pPr>
      <w:r w:rsidRPr="00534E22">
        <w:rPr>
          <w:rFonts w:ascii="Times New Arabic" w:hAnsi="Times New Arabic"/>
          <w:bCs/>
          <w:sz w:val="24"/>
          <w:szCs w:val="24"/>
          <w:lang w:val="pt-BR"/>
        </w:rPr>
        <w:lastRenderedPageBreak/>
        <w:t xml:space="preserve">Laras, Annisa, Najwa Salvabillah, Cindy Caroline, Jusini Delas H., Farra Dinda, and Mic Finanto. </w:t>
      </w:r>
      <w:r w:rsidRPr="00730665">
        <w:rPr>
          <w:rFonts w:ascii="Times New Arabic" w:hAnsi="Times New Arabic"/>
          <w:bCs/>
          <w:sz w:val="24"/>
          <w:szCs w:val="24"/>
        </w:rPr>
        <w:t xml:space="preserve">2025. “Analysis of the Impact of Online Gambling in Indonesia.” </w:t>
      </w:r>
      <w:r w:rsidRPr="00845818">
        <w:rPr>
          <w:rFonts w:ascii="Times New Arabic" w:hAnsi="Times New Arabic"/>
          <w:bCs/>
          <w:i/>
          <w:iCs/>
          <w:sz w:val="24"/>
          <w:szCs w:val="24"/>
        </w:rPr>
        <w:t>Konsep: Journal of Social Humanities and Education</w:t>
      </w:r>
      <w:r w:rsidRPr="00730665">
        <w:rPr>
          <w:rFonts w:ascii="Times New Arabic" w:hAnsi="Times New Arabic"/>
          <w:bCs/>
          <w:sz w:val="24"/>
          <w:szCs w:val="24"/>
        </w:rPr>
        <w:t xml:space="preserve"> 4, no. 2:</w:t>
      </w:r>
      <w:r>
        <w:rPr>
          <w:rFonts w:ascii="Times New Arabic" w:hAnsi="Times New Arabic"/>
          <w:bCs/>
          <w:sz w:val="24"/>
          <w:szCs w:val="24"/>
        </w:rPr>
        <w:t xml:space="preserve"> </w:t>
      </w:r>
      <w:r w:rsidRPr="00730665">
        <w:rPr>
          <w:rFonts w:ascii="Times New Arabic" w:hAnsi="Times New Arabic"/>
          <w:bCs/>
          <w:sz w:val="24"/>
          <w:szCs w:val="24"/>
        </w:rPr>
        <w:t xml:space="preserve">140–151. </w:t>
      </w:r>
      <w:hyperlink r:id="rId20" w:history="1">
        <w:r w:rsidRPr="00CF5E75">
          <w:rPr>
            <w:rStyle w:val="Hyperlink"/>
            <w:rFonts w:ascii="Times New Arabic" w:hAnsi="Times New Arabic"/>
            <w:bCs/>
            <w:sz w:val="24"/>
            <w:szCs w:val="24"/>
          </w:rPr>
          <w:t>https://doi.org/10.55606/concept.v3i2.1304</w:t>
        </w:r>
      </w:hyperlink>
    </w:p>
    <w:p w14:paraId="1DB52902" w14:textId="77777777" w:rsidR="00580E61" w:rsidRDefault="00580E61" w:rsidP="00730665">
      <w:pPr>
        <w:spacing w:after="0" w:line="360" w:lineRule="auto"/>
        <w:ind w:left="567" w:hanging="567"/>
        <w:jc w:val="both"/>
        <w:rPr>
          <w:rFonts w:ascii="Times New Arabic" w:hAnsi="Times New Arabic"/>
          <w:bCs/>
          <w:sz w:val="24"/>
          <w:szCs w:val="24"/>
        </w:rPr>
      </w:pPr>
      <w:r w:rsidRPr="00580E61">
        <w:rPr>
          <w:rFonts w:ascii="Times New Arabic" w:hAnsi="Times New Arabic"/>
          <w:bCs/>
          <w:sz w:val="24"/>
          <w:szCs w:val="24"/>
        </w:rPr>
        <w:t>Masrur</w:t>
      </w:r>
      <w:r w:rsidRPr="00730665">
        <w:rPr>
          <w:rFonts w:ascii="Times New Arabic" w:hAnsi="Times New Arabic"/>
          <w:bCs/>
          <w:sz w:val="24"/>
          <w:szCs w:val="24"/>
        </w:rPr>
        <w:t xml:space="preserve">, Muhamad. “The Concept of Wealth in the Qur’an and Hadith.” </w:t>
      </w:r>
      <w:r w:rsidRPr="00845818">
        <w:rPr>
          <w:rFonts w:ascii="Times New Arabic" w:hAnsi="Times New Arabic"/>
          <w:bCs/>
          <w:i/>
          <w:iCs/>
          <w:sz w:val="24"/>
          <w:szCs w:val="24"/>
        </w:rPr>
        <w:t>Journal of Islamic Law</w:t>
      </w:r>
      <w:r w:rsidRPr="00730665">
        <w:rPr>
          <w:rFonts w:ascii="Times New Arabic" w:hAnsi="Times New Arabic"/>
          <w:bCs/>
          <w:sz w:val="24"/>
          <w:szCs w:val="24"/>
        </w:rPr>
        <w:t xml:space="preserve"> 15, no. 1 (2017): 95–128. </w:t>
      </w:r>
      <w:hyperlink r:id="rId21" w:history="1">
        <w:r w:rsidRPr="00CF5E75">
          <w:rPr>
            <w:rStyle w:val="Hyperlink"/>
            <w:rFonts w:ascii="Times New Arabic" w:hAnsi="Times New Arabic"/>
            <w:bCs/>
            <w:sz w:val="24"/>
            <w:szCs w:val="24"/>
          </w:rPr>
          <w:t>https://doi.org/10.28918/jhi.v15i1.801</w:t>
        </w:r>
      </w:hyperlink>
    </w:p>
    <w:p w14:paraId="49F2F22A" w14:textId="77777777" w:rsidR="00580E61" w:rsidRDefault="00580E61" w:rsidP="00730665">
      <w:pPr>
        <w:spacing w:after="0" w:line="360" w:lineRule="auto"/>
        <w:ind w:left="567" w:hanging="567"/>
        <w:jc w:val="both"/>
        <w:rPr>
          <w:rFonts w:ascii="Times New Arabic" w:hAnsi="Times New Arabic"/>
          <w:bCs/>
          <w:sz w:val="24"/>
          <w:szCs w:val="24"/>
        </w:rPr>
      </w:pPr>
      <w:r w:rsidRPr="00580E61">
        <w:rPr>
          <w:rFonts w:ascii="Times New Arabic" w:hAnsi="Times New Arabic"/>
          <w:bCs/>
          <w:sz w:val="24"/>
          <w:szCs w:val="24"/>
        </w:rPr>
        <w:t xml:space="preserve">Ministry </w:t>
      </w:r>
      <w:r w:rsidRPr="00730665">
        <w:rPr>
          <w:rFonts w:ascii="Times New Arabic" w:hAnsi="Times New Arabic"/>
          <w:bCs/>
          <w:sz w:val="24"/>
          <w:szCs w:val="24"/>
        </w:rPr>
        <w:t xml:space="preserve">of Women’s Empowerment and Child Protection. </w:t>
      </w:r>
      <w:r w:rsidRPr="00845818">
        <w:rPr>
          <w:rFonts w:ascii="Times New Arabic" w:hAnsi="Times New Arabic"/>
          <w:bCs/>
          <w:i/>
          <w:iCs/>
          <w:sz w:val="24"/>
          <w:szCs w:val="24"/>
        </w:rPr>
        <w:t>Family Resilience Development 2016</w:t>
      </w:r>
      <w:r w:rsidRPr="00730665">
        <w:rPr>
          <w:rFonts w:ascii="Times New Arabic" w:hAnsi="Times New Arabic"/>
          <w:bCs/>
          <w:sz w:val="24"/>
          <w:szCs w:val="24"/>
        </w:rPr>
        <w:t>. Jakarta: Ministry of Women’s Empowerment and Child Protection, 2016.</w:t>
      </w:r>
    </w:p>
    <w:p w14:paraId="08411731" w14:textId="77777777" w:rsidR="00580E61" w:rsidRDefault="00580E61" w:rsidP="00730665">
      <w:pPr>
        <w:spacing w:after="0" w:line="360" w:lineRule="auto"/>
        <w:ind w:left="567" w:hanging="567"/>
        <w:jc w:val="both"/>
        <w:rPr>
          <w:rFonts w:ascii="Times New Arabic" w:hAnsi="Times New Arabic"/>
          <w:bCs/>
          <w:sz w:val="24"/>
          <w:szCs w:val="24"/>
        </w:rPr>
      </w:pPr>
      <w:r w:rsidRPr="00580E61">
        <w:rPr>
          <w:rFonts w:ascii="Times New Arabic" w:hAnsi="Times New Arabic"/>
          <w:bCs/>
          <w:sz w:val="24"/>
          <w:szCs w:val="24"/>
        </w:rPr>
        <w:t>Munawwir</w:t>
      </w:r>
      <w:r w:rsidRPr="00730665">
        <w:rPr>
          <w:rFonts w:ascii="Times New Arabic" w:hAnsi="Times New Arabic"/>
          <w:bCs/>
          <w:sz w:val="24"/>
          <w:szCs w:val="24"/>
        </w:rPr>
        <w:t xml:space="preserve">, Achmad Warson, and Muhammad </w:t>
      </w:r>
      <w:r w:rsidRPr="00CB586F">
        <w:rPr>
          <w:rFonts w:ascii="Times New Arabic" w:hAnsi="Times New Arabic"/>
          <w:bCs/>
          <w:sz w:val="24"/>
          <w:szCs w:val="24"/>
        </w:rPr>
        <w:t>Fairuz</w:t>
      </w:r>
      <w:r w:rsidRPr="00730665">
        <w:rPr>
          <w:rFonts w:ascii="Times New Arabic" w:hAnsi="Times New Arabic"/>
          <w:bCs/>
          <w:sz w:val="24"/>
          <w:szCs w:val="24"/>
        </w:rPr>
        <w:t xml:space="preserve">. </w:t>
      </w:r>
      <w:r w:rsidRPr="00845818">
        <w:rPr>
          <w:rFonts w:ascii="Times New Arabic" w:hAnsi="Times New Arabic"/>
          <w:bCs/>
          <w:i/>
          <w:iCs/>
          <w:sz w:val="24"/>
          <w:szCs w:val="24"/>
        </w:rPr>
        <w:t>Al-Munawwir: Indonesian- Arabic Dictionary.</w:t>
      </w:r>
      <w:r w:rsidRPr="00730665">
        <w:rPr>
          <w:rFonts w:ascii="Times New Arabic" w:hAnsi="Times New Arabic"/>
          <w:bCs/>
          <w:sz w:val="24"/>
          <w:szCs w:val="24"/>
        </w:rPr>
        <w:t xml:space="preserve"> Surabaya: Pustaka Progressif, 2007.</w:t>
      </w:r>
      <w:r>
        <w:rPr>
          <w:rFonts w:ascii="Times New Arabic" w:hAnsi="Times New Arabic"/>
          <w:bCs/>
          <w:sz w:val="24"/>
          <w:szCs w:val="24"/>
        </w:rPr>
        <w:t>\</w:t>
      </w:r>
    </w:p>
    <w:p w14:paraId="442375C9" w14:textId="77777777" w:rsidR="00580E61" w:rsidRDefault="00580E61" w:rsidP="00730665">
      <w:pPr>
        <w:spacing w:after="0" w:line="360" w:lineRule="auto"/>
        <w:ind w:left="567" w:hanging="567"/>
        <w:jc w:val="both"/>
        <w:rPr>
          <w:rFonts w:ascii="Times New Arabic" w:hAnsi="Times New Arabic"/>
          <w:bCs/>
          <w:sz w:val="24"/>
          <w:szCs w:val="24"/>
        </w:rPr>
      </w:pPr>
      <w:r w:rsidRPr="00580E61">
        <w:rPr>
          <w:rFonts w:ascii="Times New Arabic" w:hAnsi="Times New Arabic"/>
          <w:bCs/>
          <w:sz w:val="24"/>
          <w:szCs w:val="24"/>
        </w:rPr>
        <w:t>Nadeak</w:t>
      </w:r>
      <w:r w:rsidRPr="00730665">
        <w:rPr>
          <w:rFonts w:ascii="Times New Arabic" w:hAnsi="Times New Arabic"/>
          <w:bCs/>
          <w:sz w:val="24"/>
          <w:szCs w:val="24"/>
        </w:rPr>
        <w:t xml:space="preserve">, Poltak Mulyanto, and Adi Nur Rohman. “The Impact of Online Gambling on Marital Harmony in Households in Pontianak City.” </w:t>
      </w:r>
      <w:r w:rsidRPr="00845818">
        <w:rPr>
          <w:rFonts w:ascii="Times New Arabic" w:hAnsi="Times New Arabic"/>
          <w:bCs/>
          <w:i/>
          <w:iCs/>
          <w:sz w:val="24"/>
          <w:szCs w:val="24"/>
        </w:rPr>
        <w:t>Journal Evidence of Law</w:t>
      </w:r>
      <w:r w:rsidRPr="00730665">
        <w:rPr>
          <w:rFonts w:ascii="Times New Arabic" w:hAnsi="Times New Arabic"/>
          <w:bCs/>
          <w:sz w:val="24"/>
          <w:szCs w:val="24"/>
        </w:rPr>
        <w:t xml:space="preserve"> 4, no. 3 (2025).</w:t>
      </w:r>
    </w:p>
    <w:p w14:paraId="1F6A88B2" w14:textId="77777777" w:rsidR="00580E61" w:rsidRDefault="00580E61" w:rsidP="00730665">
      <w:pPr>
        <w:spacing w:after="0" w:line="360" w:lineRule="auto"/>
        <w:ind w:left="567" w:hanging="567"/>
        <w:jc w:val="both"/>
        <w:rPr>
          <w:rFonts w:ascii="Times New Arabic" w:hAnsi="Times New Arabic"/>
          <w:bCs/>
          <w:sz w:val="24"/>
          <w:szCs w:val="24"/>
        </w:rPr>
      </w:pPr>
      <w:r w:rsidRPr="00580E61">
        <w:rPr>
          <w:rFonts w:ascii="Times New Arabic" w:hAnsi="Times New Arabic"/>
          <w:bCs/>
          <w:sz w:val="24"/>
          <w:szCs w:val="24"/>
        </w:rPr>
        <w:t>Nasaruddin</w:t>
      </w:r>
      <w:r w:rsidRPr="00730665">
        <w:rPr>
          <w:rFonts w:ascii="Times New Arabic" w:hAnsi="Times New Arabic"/>
          <w:bCs/>
          <w:sz w:val="24"/>
          <w:szCs w:val="24"/>
        </w:rPr>
        <w:t xml:space="preserve">, Safrudin, Eka Fitriah Nurjadin, and Gufran. “The Impact of Online Gambling on Modern Society (A Review of QS. al-Ma’idah: 90–91).” </w:t>
      </w:r>
      <w:r w:rsidRPr="00845818">
        <w:rPr>
          <w:rFonts w:ascii="Times New Arabic" w:hAnsi="Times New Arabic"/>
          <w:bCs/>
          <w:i/>
          <w:iCs/>
          <w:sz w:val="24"/>
          <w:szCs w:val="24"/>
        </w:rPr>
        <w:t>Tajdid: Journal of Islamic Thought and Humanity</w:t>
      </w:r>
      <w:r w:rsidRPr="00730665">
        <w:rPr>
          <w:rFonts w:ascii="Times New Arabic" w:hAnsi="Times New Arabic"/>
          <w:bCs/>
          <w:sz w:val="24"/>
          <w:szCs w:val="24"/>
        </w:rPr>
        <w:t xml:space="preserve"> 8, no. 2 (2024): 112–126. </w:t>
      </w:r>
      <w:hyperlink r:id="rId22" w:history="1">
        <w:r w:rsidRPr="00CF5E75">
          <w:rPr>
            <w:rStyle w:val="Hyperlink"/>
            <w:rFonts w:ascii="Times New Arabic" w:hAnsi="Times New Arabic"/>
            <w:bCs/>
            <w:sz w:val="24"/>
            <w:szCs w:val="24"/>
          </w:rPr>
          <w:t>https://doi.org/10.52266/tadjid.v8i2.3444</w:t>
        </w:r>
      </w:hyperlink>
    </w:p>
    <w:p w14:paraId="550AE4FC" w14:textId="77777777" w:rsidR="00580E61" w:rsidRDefault="00580E61" w:rsidP="00730665">
      <w:pPr>
        <w:spacing w:after="0" w:line="360" w:lineRule="auto"/>
        <w:ind w:left="567" w:hanging="567"/>
        <w:jc w:val="both"/>
        <w:rPr>
          <w:rFonts w:ascii="Times New Arabic" w:hAnsi="Times New Arabic"/>
          <w:bCs/>
          <w:sz w:val="24"/>
          <w:szCs w:val="24"/>
        </w:rPr>
      </w:pPr>
      <w:r w:rsidRPr="00580E61">
        <w:rPr>
          <w:rFonts w:ascii="Times New Arabic" w:hAnsi="Times New Arabic"/>
          <w:bCs/>
          <w:sz w:val="24"/>
          <w:szCs w:val="24"/>
        </w:rPr>
        <w:t>Quthb</w:t>
      </w:r>
      <w:r w:rsidRPr="00730665">
        <w:rPr>
          <w:rFonts w:ascii="Times New Arabic" w:hAnsi="Times New Arabic"/>
          <w:bCs/>
          <w:sz w:val="24"/>
          <w:szCs w:val="24"/>
        </w:rPr>
        <w:t xml:space="preserve">, Sayyid. </w:t>
      </w:r>
      <w:r w:rsidRPr="00845818">
        <w:rPr>
          <w:rFonts w:ascii="Times New Arabic" w:hAnsi="Times New Arabic"/>
          <w:bCs/>
          <w:i/>
          <w:iCs/>
          <w:sz w:val="24"/>
          <w:szCs w:val="24"/>
        </w:rPr>
        <w:t>Tafsir fi Zhilalil-Qur’an. Translated by As’ad Yasin</w:t>
      </w:r>
      <w:r w:rsidRPr="00730665">
        <w:rPr>
          <w:rFonts w:ascii="Times New Arabic" w:hAnsi="Times New Arabic"/>
          <w:bCs/>
          <w:sz w:val="24"/>
          <w:szCs w:val="24"/>
        </w:rPr>
        <w:t>. Volume 3.</w:t>
      </w:r>
      <w:r>
        <w:rPr>
          <w:rFonts w:ascii="Times New Arabic" w:hAnsi="Times New Arabic"/>
          <w:bCs/>
          <w:sz w:val="24"/>
          <w:szCs w:val="24"/>
        </w:rPr>
        <w:t xml:space="preserve"> </w:t>
      </w:r>
      <w:r w:rsidRPr="00730665">
        <w:rPr>
          <w:rFonts w:ascii="Times New Arabic" w:hAnsi="Times New Arabic"/>
          <w:bCs/>
          <w:sz w:val="24"/>
          <w:szCs w:val="24"/>
        </w:rPr>
        <w:t>Jakarta: Gema Insani Press, 2002.</w:t>
      </w:r>
    </w:p>
    <w:p w14:paraId="1DFF8CF6" w14:textId="77777777" w:rsidR="00580E61" w:rsidRDefault="00580E61" w:rsidP="00730665">
      <w:pPr>
        <w:spacing w:after="0" w:line="360" w:lineRule="auto"/>
        <w:ind w:left="567" w:hanging="567"/>
        <w:jc w:val="both"/>
        <w:rPr>
          <w:rFonts w:ascii="Times New Arabic" w:hAnsi="Times New Arabic"/>
          <w:bCs/>
          <w:sz w:val="24"/>
          <w:szCs w:val="24"/>
        </w:rPr>
      </w:pPr>
      <w:r w:rsidRPr="00580E61">
        <w:rPr>
          <w:rFonts w:ascii="Times New Arabic" w:hAnsi="Times New Arabic"/>
          <w:bCs/>
          <w:sz w:val="24"/>
          <w:szCs w:val="24"/>
        </w:rPr>
        <w:t>Rahmawati</w:t>
      </w:r>
      <w:r w:rsidRPr="00730665">
        <w:rPr>
          <w:rFonts w:ascii="Times New Arabic" w:hAnsi="Times New Arabic"/>
          <w:bCs/>
          <w:sz w:val="24"/>
          <w:szCs w:val="24"/>
        </w:rPr>
        <w:t xml:space="preserve">, Anisa, Nur Azizah, Muhammad Ihsan, and Muhammad Azmiannur. “The Social Impact of Online Gambling: Disrupting Family Life and Harmony.” </w:t>
      </w:r>
      <w:r w:rsidRPr="00845818">
        <w:rPr>
          <w:rFonts w:ascii="Times New Arabic" w:hAnsi="Times New Arabic"/>
          <w:bCs/>
          <w:i/>
          <w:iCs/>
          <w:sz w:val="24"/>
          <w:szCs w:val="24"/>
        </w:rPr>
        <w:t>Sujud: Journal of Religion, Society, and Culture</w:t>
      </w:r>
      <w:r w:rsidRPr="00730665">
        <w:rPr>
          <w:rFonts w:ascii="Times New Arabic" w:hAnsi="Times New Arabic"/>
          <w:bCs/>
          <w:sz w:val="24"/>
          <w:szCs w:val="24"/>
        </w:rPr>
        <w:t xml:space="preserve"> 1, no. 3 (2025): 410–419. </w:t>
      </w:r>
      <w:hyperlink r:id="rId23" w:history="1">
        <w:r w:rsidRPr="00CF5E75">
          <w:rPr>
            <w:rStyle w:val="Hyperlink"/>
            <w:rFonts w:ascii="Times New Arabic" w:hAnsi="Times New Arabic"/>
            <w:bCs/>
            <w:sz w:val="24"/>
            <w:szCs w:val="24"/>
          </w:rPr>
          <w:t>https://doi.org/10.63822/m6g6dw28</w:t>
        </w:r>
      </w:hyperlink>
    </w:p>
    <w:p w14:paraId="6FCF850B" w14:textId="77777777" w:rsidR="00580E61" w:rsidRDefault="00580E61" w:rsidP="00730665">
      <w:pPr>
        <w:spacing w:after="0" w:line="360" w:lineRule="auto"/>
        <w:ind w:left="567" w:hanging="567"/>
        <w:jc w:val="both"/>
        <w:rPr>
          <w:rFonts w:ascii="Times New Arabic" w:hAnsi="Times New Arabic"/>
          <w:bCs/>
          <w:sz w:val="24"/>
          <w:szCs w:val="24"/>
        </w:rPr>
      </w:pPr>
      <w:r w:rsidRPr="00580E61">
        <w:rPr>
          <w:rFonts w:ascii="Times New Arabic" w:hAnsi="Times New Arabic"/>
          <w:bCs/>
          <w:sz w:val="24"/>
          <w:szCs w:val="24"/>
        </w:rPr>
        <w:lastRenderedPageBreak/>
        <w:t>Ramadhan</w:t>
      </w:r>
      <w:r w:rsidRPr="00730665">
        <w:rPr>
          <w:rFonts w:ascii="Times New Arabic" w:hAnsi="Times New Arabic"/>
          <w:bCs/>
          <w:sz w:val="24"/>
          <w:szCs w:val="24"/>
        </w:rPr>
        <w:t xml:space="preserve">, Gilang, Yunanda Amelia Salsalina Ginting, Inayah Sulistiani, Renita Ayu Anggraini, Eka Vindi Astriana Nurb Qalifah, and Aditia Muhammad Noor. “Moral Degradation: The Phenomenon of Online Gambling in Indonesia.” </w:t>
      </w:r>
      <w:r w:rsidRPr="00845818">
        <w:rPr>
          <w:rFonts w:ascii="Times New Arabic" w:hAnsi="Times New Arabic"/>
          <w:bCs/>
          <w:i/>
          <w:iCs/>
          <w:sz w:val="24"/>
          <w:szCs w:val="24"/>
        </w:rPr>
        <w:t>AL YASINI: Journal of Islam, Society, Law, and Education</w:t>
      </w:r>
      <w:r w:rsidRPr="00730665">
        <w:rPr>
          <w:rFonts w:ascii="Times New Arabic" w:hAnsi="Times New Arabic"/>
          <w:bCs/>
          <w:sz w:val="24"/>
          <w:szCs w:val="24"/>
        </w:rPr>
        <w:t xml:space="preserve"> 8, no. 1 (2023): 42–54. </w:t>
      </w:r>
      <w:hyperlink r:id="rId24" w:history="1">
        <w:r w:rsidRPr="00CF5E75">
          <w:rPr>
            <w:rStyle w:val="Hyperlink"/>
            <w:rFonts w:ascii="Times New Arabic" w:hAnsi="Times New Arabic"/>
            <w:bCs/>
            <w:sz w:val="24"/>
            <w:szCs w:val="24"/>
          </w:rPr>
          <w:t>https://doi.org/10.55102/alyasini.v8i1.5271</w:t>
        </w:r>
      </w:hyperlink>
    </w:p>
    <w:p w14:paraId="072FE25F" w14:textId="77777777" w:rsidR="00580E61" w:rsidRDefault="00580E61" w:rsidP="00730665">
      <w:pPr>
        <w:spacing w:after="0" w:line="360" w:lineRule="auto"/>
        <w:ind w:left="567" w:hanging="567"/>
        <w:jc w:val="both"/>
        <w:rPr>
          <w:rFonts w:ascii="Times New Arabic" w:hAnsi="Times New Arabic"/>
          <w:bCs/>
          <w:sz w:val="24"/>
          <w:szCs w:val="24"/>
        </w:rPr>
      </w:pPr>
      <w:r w:rsidRPr="00580E61">
        <w:rPr>
          <w:rFonts w:ascii="Times New Arabic" w:hAnsi="Times New Arabic"/>
          <w:bCs/>
          <w:sz w:val="24"/>
          <w:szCs w:val="24"/>
        </w:rPr>
        <w:t>Ririn</w:t>
      </w:r>
      <w:r w:rsidRPr="00730665">
        <w:rPr>
          <w:rFonts w:ascii="Times New Arabic" w:hAnsi="Times New Arabic"/>
          <w:bCs/>
          <w:sz w:val="24"/>
          <w:szCs w:val="24"/>
        </w:rPr>
        <w:t xml:space="preserve">, and Syamzaimar. “Interpretation of Surah al-Maidah Verses 90–91 as an Islamic Solution to the Phenomenon of Online Gambling in Modern Society.” </w:t>
      </w:r>
      <w:r w:rsidRPr="00845818">
        <w:rPr>
          <w:rFonts w:ascii="Times New Arabic" w:hAnsi="Times New Arabic"/>
          <w:bCs/>
          <w:i/>
          <w:iCs/>
          <w:sz w:val="24"/>
          <w:szCs w:val="24"/>
        </w:rPr>
        <w:t>IHSAN: Journal of Islamic Education</w:t>
      </w:r>
      <w:r w:rsidRPr="00730665">
        <w:rPr>
          <w:rFonts w:ascii="Times New Arabic" w:hAnsi="Times New Arabic"/>
          <w:bCs/>
          <w:sz w:val="24"/>
          <w:szCs w:val="24"/>
        </w:rPr>
        <w:t xml:space="preserve"> 3, no. 4 (2025): 1136–1142. </w:t>
      </w:r>
      <w:hyperlink r:id="rId25" w:history="1">
        <w:r w:rsidRPr="00CF5E75">
          <w:rPr>
            <w:rStyle w:val="Hyperlink"/>
            <w:rFonts w:ascii="Times New Arabic" w:hAnsi="Times New Arabic"/>
            <w:bCs/>
            <w:sz w:val="24"/>
            <w:szCs w:val="24"/>
          </w:rPr>
          <w:t>https://doi.org/10.61104/ihsan.v3i4.2545</w:t>
        </w:r>
      </w:hyperlink>
      <w:r w:rsidRPr="00730665">
        <w:rPr>
          <w:rFonts w:ascii="Times New Arabic" w:hAnsi="Times New Arabic"/>
          <w:bCs/>
          <w:sz w:val="24"/>
          <w:szCs w:val="24"/>
        </w:rPr>
        <w:t>.</w:t>
      </w:r>
    </w:p>
    <w:p w14:paraId="530C153A" w14:textId="77777777" w:rsidR="00580E61" w:rsidRDefault="00580E61" w:rsidP="00730665">
      <w:pPr>
        <w:spacing w:after="0" w:line="360" w:lineRule="auto"/>
        <w:ind w:left="567" w:hanging="567"/>
        <w:jc w:val="both"/>
        <w:rPr>
          <w:rFonts w:ascii="Times New Arabic" w:hAnsi="Times New Arabic"/>
          <w:bCs/>
          <w:sz w:val="24"/>
          <w:szCs w:val="24"/>
        </w:rPr>
      </w:pPr>
      <w:r w:rsidRPr="00580E61">
        <w:rPr>
          <w:rFonts w:ascii="Times New Arabic" w:hAnsi="Times New Arabic"/>
          <w:bCs/>
          <w:sz w:val="24"/>
          <w:szCs w:val="24"/>
        </w:rPr>
        <w:t>Rivaldi</w:t>
      </w:r>
      <w:r w:rsidRPr="00730665">
        <w:rPr>
          <w:rFonts w:ascii="Times New Arabic" w:hAnsi="Times New Arabic"/>
          <w:bCs/>
          <w:sz w:val="24"/>
          <w:szCs w:val="24"/>
        </w:rPr>
        <w:t xml:space="preserve">, Taufik, and Nuriza Dora. “Online Gambling and Adolescent Social Behavior in Kotasan Village, Galang District.” </w:t>
      </w:r>
      <w:r w:rsidRPr="00845818">
        <w:rPr>
          <w:rFonts w:ascii="Times New Arabic" w:hAnsi="Times New Arabic"/>
          <w:bCs/>
          <w:i/>
          <w:iCs/>
          <w:sz w:val="24"/>
          <w:szCs w:val="24"/>
        </w:rPr>
        <w:t>Edu Cendikia: Scientific Journal of Education</w:t>
      </w:r>
      <w:r w:rsidRPr="00730665">
        <w:rPr>
          <w:rFonts w:ascii="Times New Arabic" w:hAnsi="Times New Arabic"/>
          <w:bCs/>
          <w:sz w:val="24"/>
          <w:szCs w:val="24"/>
        </w:rPr>
        <w:t xml:space="preserve"> 5, no. 2 (2025): 695–707. </w:t>
      </w:r>
      <w:hyperlink r:id="rId26" w:history="1">
        <w:r w:rsidRPr="00CF5E75">
          <w:rPr>
            <w:rStyle w:val="Hyperlink"/>
            <w:rFonts w:ascii="Times New Arabic" w:hAnsi="Times New Arabic"/>
            <w:bCs/>
            <w:sz w:val="24"/>
            <w:szCs w:val="24"/>
          </w:rPr>
          <w:t>https://doi.org/10.47709/educendikia.v5i02.6923</w:t>
        </w:r>
      </w:hyperlink>
    </w:p>
    <w:p w14:paraId="11972D30" w14:textId="77777777" w:rsidR="00580E61" w:rsidRDefault="00580E61" w:rsidP="00730665">
      <w:pPr>
        <w:spacing w:after="0" w:line="360" w:lineRule="auto"/>
        <w:ind w:left="567" w:hanging="567"/>
        <w:jc w:val="both"/>
        <w:rPr>
          <w:rFonts w:ascii="Times New Arabic" w:hAnsi="Times New Arabic"/>
          <w:bCs/>
          <w:sz w:val="24"/>
          <w:szCs w:val="24"/>
        </w:rPr>
      </w:pPr>
      <w:r w:rsidRPr="00580E61">
        <w:rPr>
          <w:rFonts w:ascii="Times New Arabic" w:hAnsi="Times New Arabic"/>
          <w:bCs/>
          <w:sz w:val="24"/>
          <w:szCs w:val="24"/>
        </w:rPr>
        <w:t>Russell</w:t>
      </w:r>
      <w:r w:rsidRPr="00730665">
        <w:rPr>
          <w:rFonts w:ascii="Times New Arabic" w:hAnsi="Times New Arabic"/>
          <w:bCs/>
          <w:sz w:val="24"/>
          <w:szCs w:val="24"/>
        </w:rPr>
        <w:t xml:space="preserve">, Alex M. T., Erika Langham, and Nerilee Hing. “Social Influences Normalize Gambling-Related Harm among Higher Risk Gamblers.” </w:t>
      </w:r>
      <w:r w:rsidRPr="00845818">
        <w:rPr>
          <w:rFonts w:ascii="Times New Arabic" w:hAnsi="Times New Arabic"/>
          <w:bCs/>
          <w:i/>
          <w:iCs/>
          <w:sz w:val="24"/>
          <w:szCs w:val="24"/>
        </w:rPr>
        <w:t>Journal of Behavioral Addictions</w:t>
      </w:r>
      <w:r w:rsidRPr="00730665">
        <w:rPr>
          <w:rFonts w:ascii="Times New Arabic" w:hAnsi="Times New Arabic"/>
          <w:bCs/>
          <w:sz w:val="24"/>
          <w:szCs w:val="24"/>
        </w:rPr>
        <w:tab/>
        <w:t>7,</w:t>
      </w:r>
      <w:r w:rsidRPr="00730665">
        <w:rPr>
          <w:rFonts w:ascii="Times New Arabic" w:hAnsi="Times New Arabic"/>
          <w:bCs/>
          <w:sz w:val="24"/>
          <w:szCs w:val="24"/>
        </w:rPr>
        <w:tab/>
        <w:t>no.</w:t>
      </w:r>
      <w:r w:rsidRPr="00730665">
        <w:rPr>
          <w:rFonts w:ascii="Times New Arabic" w:hAnsi="Times New Arabic"/>
          <w:bCs/>
          <w:sz w:val="24"/>
          <w:szCs w:val="24"/>
        </w:rPr>
        <w:tab/>
        <w:t>4</w:t>
      </w:r>
      <w:r w:rsidRPr="00730665">
        <w:rPr>
          <w:rFonts w:ascii="Times New Arabic" w:hAnsi="Times New Arabic"/>
          <w:bCs/>
          <w:sz w:val="24"/>
          <w:szCs w:val="24"/>
        </w:rPr>
        <w:tab/>
        <w:t>(2018):</w:t>
      </w:r>
      <w:r w:rsidRPr="00730665">
        <w:rPr>
          <w:rFonts w:ascii="Times New Arabic" w:hAnsi="Times New Arabic"/>
          <w:bCs/>
          <w:sz w:val="24"/>
          <w:szCs w:val="24"/>
        </w:rPr>
        <w:tab/>
        <w:t xml:space="preserve">1100–1111. </w:t>
      </w:r>
      <w:hyperlink r:id="rId27" w:history="1">
        <w:r w:rsidRPr="00CF5E75">
          <w:rPr>
            <w:rStyle w:val="Hyperlink"/>
            <w:rFonts w:ascii="Times New Arabic" w:hAnsi="Times New Arabic"/>
            <w:bCs/>
            <w:sz w:val="24"/>
            <w:szCs w:val="24"/>
          </w:rPr>
          <w:t>https://doi.org/10.1556/2006.7.2018.139</w:t>
        </w:r>
      </w:hyperlink>
      <w:r w:rsidRPr="00730665">
        <w:rPr>
          <w:rFonts w:ascii="Times New Arabic" w:hAnsi="Times New Arabic"/>
          <w:bCs/>
          <w:sz w:val="24"/>
          <w:szCs w:val="24"/>
        </w:rPr>
        <w:t>.</w:t>
      </w:r>
    </w:p>
    <w:p w14:paraId="6FAD391E" w14:textId="77777777" w:rsidR="00580E61" w:rsidRDefault="00580E61" w:rsidP="00730665">
      <w:pPr>
        <w:spacing w:after="0" w:line="360" w:lineRule="auto"/>
        <w:ind w:left="567" w:hanging="567"/>
        <w:jc w:val="both"/>
        <w:rPr>
          <w:rFonts w:ascii="Times New Arabic" w:hAnsi="Times New Arabic"/>
          <w:bCs/>
          <w:sz w:val="24"/>
          <w:szCs w:val="24"/>
        </w:rPr>
      </w:pPr>
      <w:r w:rsidRPr="00580E61">
        <w:rPr>
          <w:rFonts w:ascii="Times New Arabic" w:hAnsi="Times New Arabic"/>
          <w:bCs/>
          <w:sz w:val="24"/>
          <w:szCs w:val="24"/>
        </w:rPr>
        <w:t>Rustiawan</w:t>
      </w:r>
      <w:r w:rsidRPr="00730665">
        <w:rPr>
          <w:rFonts w:ascii="Times New Arabic" w:hAnsi="Times New Arabic"/>
          <w:bCs/>
          <w:sz w:val="24"/>
          <w:szCs w:val="24"/>
        </w:rPr>
        <w:t xml:space="preserve">, Hafid, and Hasbullah. “The Context of Quranic Verses in Education: An Analysis of the Exegesis of Quranic Surah at-Tahrim Verse 6.” </w:t>
      </w:r>
      <w:r w:rsidRPr="00845818">
        <w:rPr>
          <w:rFonts w:ascii="Times New Arabic" w:hAnsi="Times New Arabic"/>
          <w:bCs/>
          <w:i/>
          <w:iCs/>
          <w:sz w:val="24"/>
          <w:szCs w:val="24"/>
        </w:rPr>
        <w:t>Geneologi PAI: Journal of Islamic Education</w:t>
      </w:r>
      <w:r w:rsidRPr="00730665">
        <w:rPr>
          <w:rFonts w:ascii="Times New Arabic" w:hAnsi="Times New Arabic"/>
          <w:bCs/>
          <w:sz w:val="24"/>
          <w:szCs w:val="24"/>
        </w:rPr>
        <w:t xml:space="preserve"> 10, no. 1 (2023): 1–12. </w:t>
      </w:r>
      <w:hyperlink r:id="rId28" w:history="1">
        <w:r w:rsidRPr="00CF5E75">
          <w:rPr>
            <w:rStyle w:val="Hyperlink"/>
            <w:rFonts w:ascii="Times New Arabic" w:hAnsi="Times New Arabic"/>
            <w:bCs/>
            <w:sz w:val="24"/>
            <w:szCs w:val="24"/>
          </w:rPr>
          <w:t>https://doi.org/10.32678/geneologipai.v10i1.8418</w:t>
        </w:r>
      </w:hyperlink>
    </w:p>
    <w:p w14:paraId="637513F4" w14:textId="77777777" w:rsidR="00580E61" w:rsidRDefault="00580E61" w:rsidP="00730665">
      <w:pPr>
        <w:spacing w:after="0" w:line="360" w:lineRule="auto"/>
        <w:ind w:left="567" w:hanging="567"/>
        <w:jc w:val="both"/>
        <w:rPr>
          <w:rFonts w:ascii="Times New Arabic" w:hAnsi="Times New Arabic"/>
          <w:bCs/>
          <w:sz w:val="24"/>
          <w:szCs w:val="24"/>
        </w:rPr>
      </w:pPr>
      <w:r w:rsidRPr="00580E61">
        <w:rPr>
          <w:rFonts w:ascii="Times New Arabic" w:hAnsi="Times New Arabic"/>
          <w:bCs/>
          <w:sz w:val="24"/>
          <w:szCs w:val="24"/>
        </w:rPr>
        <w:t>Saman</w:t>
      </w:r>
      <w:r w:rsidRPr="00730665">
        <w:rPr>
          <w:rFonts w:ascii="Times New Arabic" w:hAnsi="Times New Arabic"/>
          <w:bCs/>
          <w:sz w:val="24"/>
          <w:szCs w:val="24"/>
        </w:rPr>
        <w:t xml:space="preserve">, Muhammad Arif, and Hery Sahputra. “Guiding the Generation: Lessons from Al-Azhar and Al-Misbah on Gambling and Moral Conduct.” </w:t>
      </w:r>
      <w:r w:rsidRPr="00845818">
        <w:rPr>
          <w:rFonts w:ascii="Times New Arabic" w:hAnsi="Times New Arabic"/>
          <w:bCs/>
          <w:i/>
          <w:iCs/>
          <w:sz w:val="24"/>
          <w:szCs w:val="24"/>
        </w:rPr>
        <w:t>Raushan Fikr Student Scientific Journal</w:t>
      </w:r>
      <w:r w:rsidRPr="00730665">
        <w:rPr>
          <w:rFonts w:ascii="Times New Arabic" w:hAnsi="Times New Arabic"/>
          <w:bCs/>
          <w:sz w:val="24"/>
          <w:szCs w:val="24"/>
        </w:rPr>
        <w:t xml:space="preserve"> 14, no. 1 (2025): 80–92. </w:t>
      </w:r>
      <w:hyperlink r:id="rId29" w:history="1">
        <w:r w:rsidRPr="00CF5E75">
          <w:rPr>
            <w:rStyle w:val="Hyperlink"/>
            <w:rFonts w:ascii="Times New Arabic" w:hAnsi="Times New Arabic"/>
            <w:bCs/>
            <w:sz w:val="24"/>
            <w:szCs w:val="24"/>
          </w:rPr>
          <w:t>https://doi.org/10.24090/jimrf.v14i1.13647</w:t>
        </w:r>
      </w:hyperlink>
      <w:r w:rsidRPr="00730665">
        <w:rPr>
          <w:rFonts w:ascii="Times New Arabic" w:hAnsi="Times New Arabic"/>
          <w:bCs/>
          <w:sz w:val="24"/>
          <w:szCs w:val="24"/>
        </w:rPr>
        <w:t>.</w:t>
      </w:r>
    </w:p>
    <w:p w14:paraId="1D8B72C0" w14:textId="77777777" w:rsidR="00580E61" w:rsidRDefault="00580E61" w:rsidP="00730665">
      <w:pPr>
        <w:spacing w:after="0" w:line="360" w:lineRule="auto"/>
        <w:ind w:left="567" w:hanging="567"/>
        <w:jc w:val="both"/>
        <w:rPr>
          <w:rFonts w:ascii="Times New Arabic" w:hAnsi="Times New Arabic"/>
          <w:bCs/>
          <w:sz w:val="24"/>
          <w:szCs w:val="24"/>
        </w:rPr>
      </w:pPr>
      <w:r w:rsidRPr="00580E61">
        <w:rPr>
          <w:rFonts w:ascii="Times New Arabic" w:hAnsi="Times New Arabic"/>
          <w:bCs/>
          <w:sz w:val="24"/>
          <w:szCs w:val="24"/>
        </w:rPr>
        <w:lastRenderedPageBreak/>
        <w:t>Serliyana</w:t>
      </w:r>
      <w:r w:rsidRPr="00730665">
        <w:rPr>
          <w:rFonts w:ascii="Times New Arabic" w:hAnsi="Times New Arabic"/>
          <w:bCs/>
          <w:sz w:val="24"/>
          <w:szCs w:val="24"/>
        </w:rPr>
        <w:t xml:space="preserve">. “The Impact of Online Gambling on the Family Economy: A Maqashid al-Sharia Perspective.” </w:t>
      </w:r>
      <w:r w:rsidRPr="00845818">
        <w:rPr>
          <w:rFonts w:ascii="Times New Arabic" w:hAnsi="Times New Arabic"/>
          <w:bCs/>
          <w:i/>
          <w:iCs/>
          <w:sz w:val="24"/>
          <w:szCs w:val="24"/>
        </w:rPr>
        <w:t>Al-Iqtishady: Journal of Islamic Economics</w:t>
      </w:r>
      <w:r w:rsidRPr="00730665">
        <w:rPr>
          <w:rFonts w:ascii="Times New Arabic" w:hAnsi="Times New Arabic"/>
          <w:bCs/>
          <w:sz w:val="24"/>
          <w:szCs w:val="24"/>
        </w:rPr>
        <w:t xml:space="preserve"> 4, no. 1 (2026): 26–38.</w:t>
      </w:r>
      <w:r>
        <w:rPr>
          <w:rFonts w:ascii="Times New Arabic" w:hAnsi="Times New Arabic"/>
          <w:bCs/>
          <w:sz w:val="24"/>
          <w:szCs w:val="24"/>
        </w:rPr>
        <w:t xml:space="preserve"> </w:t>
      </w:r>
      <w:hyperlink r:id="rId30" w:history="1">
        <w:r w:rsidRPr="00CF5E75">
          <w:rPr>
            <w:rStyle w:val="Hyperlink"/>
            <w:rFonts w:ascii="Times New Arabic" w:hAnsi="Times New Arabic"/>
            <w:bCs/>
            <w:sz w:val="24"/>
            <w:szCs w:val="24"/>
          </w:rPr>
          <w:t>https://ejournal.stainupa.ac.id/index.php/aliqtishady/article/view/256</w:t>
        </w:r>
      </w:hyperlink>
      <w:r w:rsidRPr="00730665">
        <w:rPr>
          <w:rFonts w:ascii="Times New Arabic" w:hAnsi="Times New Arabic"/>
          <w:bCs/>
          <w:sz w:val="24"/>
          <w:szCs w:val="24"/>
        </w:rPr>
        <w:t>.</w:t>
      </w:r>
    </w:p>
    <w:p w14:paraId="09BDF3F0" w14:textId="77777777" w:rsidR="00580E61" w:rsidRPr="00730665" w:rsidRDefault="00580E61" w:rsidP="00730665">
      <w:pPr>
        <w:spacing w:after="0" w:line="360" w:lineRule="auto"/>
        <w:ind w:left="567" w:hanging="567"/>
        <w:jc w:val="both"/>
        <w:rPr>
          <w:rFonts w:ascii="Times New Arabic" w:hAnsi="Times New Arabic"/>
          <w:bCs/>
          <w:sz w:val="24"/>
          <w:szCs w:val="24"/>
        </w:rPr>
      </w:pPr>
      <w:r w:rsidRPr="00580E61">
        <w:rPr>
          <w:rFonts w:ascii="Times New Arabic" w:hAnsi="Times New Arabic"/>
          <w:bCs/>
          <w:sz w:val="24"/>
          <w:szCs w:val="24"/>
        </w:rPr>
        <w:t>Shihab</w:t>
      </w:r>
      <w:r w:rsidRPr="00730665">
        <w:rPr>
          <w:rFonts w:ascii="Times New Arabic" w:hAnsi="Times New Arabic"/>
          <w:bCs/>
          <w:sz w:val="24"/>
          <w:szCs w:val="24"/>
        </w:rPr>
        <w:t xml:space="preserve">, M. Quraish. </w:t>
      </w:r>
      <w:r w:rsidRPr="00845818">
        <w:rPr>
          <w:rFonts w:ascii="Times New Arabic" w:hAnsi="Times New Arabic"/>
          <w:bCs/>
          <w:i/>
          <w:iCs/>
          <w:sz w:val="24"/>
          <w:szCs w:val="24"/>
        </w:rPr>
        <w:t>Tafsir Al-Mishbah: The Message, Impression, and Harmony of the Qur’an</w:t>
      </w:r>
      <w:r w:rsidRPr="00730665">
        <w:rPr>
          <w:rFonts w:ascii="Times New Arabic" w:hAnsi="Times New Arabic"/>
          <w:bCs/>
          <w:sz w:val="24"/>
          <w:szCs w:val="24"/>
        </w:rPr>
        <w:t>. 15 vols. Jakarta: Lentera Hati, 2002.</w:t>
      </w:r>
    </w:p>
    <w:p w14:paraId="5743FCE7" w14:textId="77777777" w:rsidR="00580E61" w:rsidRPr="00730665" w:rsidRDefault="00580E61" w:rsidP="00730665">
      <w:pPr>
        <w:spacing w:after="0" w:line="360" w:lineRule="auto"/>
        <w:ind w:left="567" w:hanging="567"/>
        <w:jc w:val="both"/>
        <w:rPr>
          <w:rFonts w:ascii="Times New Arabic" w:hAnsi="Times New Arabic"/>
          <w:bCs/>
          <w:sz w:val="24"/>
          <w:szCs w:val="24"/>
        </w:rPr>
      </w:pPr>
      <w:r w:rsidRPr="00580E61">
        <w:rPr>
          <w:rFonts w:ascii="Times New Arabic" w:hAnsi="Times New Arabic"/>
          <w:bCs/>
          <w:sz w:val="24"/>
          <w:szCs w:val="24"/>
        </w:rPr>
        <w:t>Shihab</w:t>
      </w:r>
      <w:r w:rsidRPr="00730665">
        <w:rPr>
          <w:rFonts w:ascii="Times New Arabic" w:hAnsi="Times New Arabic"/>
          <w:bCs/>
          <w:sz w:val="24"/>
          <w:szCs w:val="24"/>
        </w:rPr>
        <w:t xml:space="preserve">, M. Quraish. </w:t>
      </w:r>
      <w:r w:rsidRPr="00845818">
        <w:rPr>
          <w:rFonts w:ascii="Times New Arabic" w:hAnsi="Times New Arabic"/>
          <w:bCs/>
          <w:i/>
          <w:iCs/>
          <w:sz w:val="24"/>
          <w:szCs w:val="24"/>
        </w:rPr>
        <w:t>Tafsir Al-Mishb</w:t>
      </w:r>
      <w:r w:rsidRPr="00845818">
        <w:rPr>
          <w:rFonts w:ascii="Cambria" w:hAnsi="Cambria" w:cs="Cambria"/>
          <w:bCs/>
          <w:i/>
          <w:iCs/>
          <w:sz w:val="24"/>
          <w:szCs w:val="24"/>
        </w:rPr>
        <w:t>ā</w:t>
      </w:r>
      <w:r w:rsidRPr="00845818">
        <w:rPr>
          <w:rFonts w:ascii="Times New Arabic" w:hAnsi="Times New Arabic"/>
          <w:bCs/>
          <w:i/>
          <w:iCs/>
          <w:sz w:val="24"/>
          <w:szCs w:val="24"/>
        </w:rPr>
        <w:t>h: The Message, Impression, and Harmony of the Qur’an.</w:t>
      </w:r>
      <w:r w:rsidRPr="00730665">
        <w:rPr>
          <w:rFonts w:ascii="Times New Arabic" w:hAnsi="Times New Arabic"/>
          <w:bCs/>
          <w:sz w:val="24"/>
          <w:szCs w:val="24"/>
        </w:rPr>
        <w:t xml:space="preserve"> Jakarta: Lentera Hati, 2000.</w:t>
      </w:r>
    </w:p>
    <w:p w14:paraId="664A0507" w14:textId="77777777" w:rsidR="00580E61" w:rsidRDefault="00580E61" w:rsidP="00730665">
      <w:pPr>
        <w:spacing w:after="0" w:line="360" w:lineRule="auto"/>
        <w:ind w:left="567" w:hanging="567"/>
        <w:jc w:val="both"/>
        <w:rPr>
          <w:rFonts w:ascii="Times New Arabic" w:hAnsi="Times New Arabic"/>
          <w:bCs/>
          <w:sz w:val="24"/>
          <w:szCs w:val="24"/>
        </w:rPr>
      </w:pPr>
      <w:r w:rsidRPr="00580E61">
        <w:rPr>
          <w:rFonts w:ascii="Times New Arabic" w:hAnsi="Times New Arabic"/>
          <w:bCs/>
          <w:sz w:val="24"/>
          <w:szCs w:val="24"/>
        </w:rPr>
        <w:t>Subagyo</w:t>
      </w:r>
      <w:r w:rsidRPr="00730665">
        <w:rPr>
          <w:rFonts w:ascii="Times New Arabic" w:hAnsi="Times New Arabic"/>
          <w:bCs/>
          <w:sz w:val="24"/>
          <w:szCs w:val="24"/>
        </w:rPr>
        <w:t xml:space="preserve">, Abi Arsyan Makarim, and Laras Astuti. “Factors Influencing Students to Engage in Online Gambling.” </w:t>
      </w:r>
      <w:r w:rsidRPr="00845818">
        <w:rPr>
          <w:rFonts w:ascii="Times New Arabic" w:hAnsi="Times New Arabic"/>
          <w:bCs/>
          <w:i/>
          <w:iCs/>
          <w:sz w:val="24"/>
          <w:szCs w:val="24"/>
        </w:rPr>
        <w:t>Indonesian Journal of Criminal Law and Criminology (IJCLC)</w:t>
      </w:r>
      <w:r w:rsidRPr="00730665">
        <w:rPr>
          <w:rFonts w:ascii="Times New Arabic" w:hAnsi="Times New Arabic"/>
          <w:bCs/>
          <w:sz w:val="24"/>
          <w:szCs w:val="24"/>
        </w:rPr>
        <w:t xml:space="preserve"> 3, no. 3 (2022): 180–189. </w:t>
      </w:r>
      <w:hyperlink r:id="rId31" w:history="1">
        <w:r w:rsidRPr="00CF5E75">
          <w:rPr>
            <w:rStyle w:val="Hyperlink"/>
            <w:rFonts w:ascii="Times New Arabic" w:hAnsi="Times New Arabic"/>
            <w:bCs/>
            <w:sz w:val="24"/>
            <w:szCs w:val="24"/>
          </w:rPr>
          <w:t>https://doi.org/10.18196/ijclc.v3i3.17674</w:t>
        </w:r>
      </w:hyperlink>
      <w:r w:rsidRPr="00730665">
        <w:rPr>
          <w:rFonts w:ascii="Times New Arabic" w:hAnsi="Times New Arabic"/>
          <w:bCs/>
          <w:sz w:val="24"/>
          <w:szCs w:val="24"/>
        </w:rPr>
        <w:t>.</w:t>
      </w:r>
    </w:p>
    <w:p w14:paraId="40AFD8F3" w14:textId="77777777" w:rsidR="00580E61" w:rsidRDefault="00580E61" w:rsidP="00730665">
      <w:pPr>
        <w:spacing w:after="0" w:line="360" w:lineRule="auto"/>
        <w:ind w:left="567" w:hanging="567"/>
        <w:jc w:val="both"/>
        <w:rPr>
          <w:rFonts w:ascii="Times New Arabic" w:hAnsi="Times New Arabic"/>
          <w:bCs/>
          <w:sz w:val="24"/>
          <w:szCs w:val="24"/>
        </w:rPr>
      </w:pPr>
      <w:r w:rsidRPr="00580E61">
        <w:rPr>
          <w:rFonts w:ascii="Times New Arabic" w:hAnsi="Times New Arabic"/>
          <w:bCs/>
          <w:sz w:val="24"/>
          <w:szCs w:val="24"/>
        </w:rPr>
        <w:t>Suwito</w:t>
      </w:r>
      <w:r w:rsidRPr="00730665">
        <w:rPr>
          <w:rFonts w:ascii="Times New Arabic" w:hAnsi="Times New Arabic"/>
          <w:bCs/>
          <w:sz w:val="24"/>
          <w:szCs w:val="24"/>
        </w:rPr>
        <w:t xml:space="preserve">. “Legal and Social Impacts of Online Gambling in Indonesia: Challenges in Law Enforcement.” </w:t>
      </w:r>
      <w:r w:rsidRPr="00845818">
        <w:rPr>
          <w:rFonts w:ascii="Times New Arabic" w:hAnsi="Times New Arabic"/>
          <w:bCs/>
          <w:i/>
          <w:iCs/>
          <w:sz w:val="24"/>
          <w:szCs w:val="24"/>
        </w:rPr>
        <w:t>Indonesian Journal of Intellectual Publication</w:t>
      </w:r>
      <w:r w:rsidRPr="00730665">
        <w:rPr>
          <w:rFonts w:ascii="Times New Arabic" w:hAnsi="Times New Arabic"/>
          <w:bCs/>
          <w:sz w:val="24"/>
          <w:szCs w:val="24"/>
        </w:rPr>
        <w:t xml:space="preserve"> 5, no. 1 (2024): 82–90. </w:t>
      </w:r>
      <w:hyperlink r:id="rId32" w:history="1">
        <w:r w:rsidRPr="00CF5E75">
          <w:rPr>
            <w:rStyle w:val="Hyperlink"/>
            <w:rFonts w:ascii="Times New Arabic" w:hAnsi="Times New Arabic"/>
            <w:bCs/>
            <w:sz w:val="24"/>
            <w:szCs w:val="24"/>
          </w:rPr>
          <w:t>https://doi.org/10.51577/ijipublication.v5i1.623</w:t>
        </w:r>
      </w:hyperlink>
      <w:r w:rsidRPr="00730665">
        <w:rPr>
          <w:rFonts w:ascii="Times New Arabic" w:hAnsi="Times New Arabic"/>
          <w:bCs/>
          <w:sz w:val="24"/>
          <w:szCs w:val="24"/>
        </w:rPr>
        <w:t>.</w:t>
      </w:r>
    </w:p>
    <w:p w14:paraId="3522C256" w14:textId="77777777" w:rsidR="00580E61" w:rsidRDefault="00580E61" w:rsidP="00730665">
      <w:pPr>
        <w:spacing w:after="0" w:line="360" w:lineRule="auto"/>
        <w:ind w:left="567" w:hanging="567"/>
        <w:jc w:val="both"/>
        <w:rPr>
          <w:rFonts w:ascii="Times New Arabic" w:hAnsi="Times New Arabic"/>
          <w:bCs/>
          <w:sz w:val="24"/>
          <w:szCs w:val="24"/>
        </w:rPr>
      </w:pPr>
      <w:r w:rsidRPr="00580E61">
        <w:rPr>
          <w:rFonts w:ascii="Times New Arabic" w:hAnsi="Times New Arabic"/>
          <w:bCs/>
          <w:sz w:val="24"/>
          <w:szCs w:val="24"/>
        </w:rPr>
        <w:t>Syarbini</w:t>
      </w:r>
      <w:r w:rsidRPr="00730665">
        <w:rPr>
          <w:rFonts w:ascii="Times New Arabic" w:hAnsi="Times New Arabic"/>
          <w:bCs/>
          <w:sz w:val="24"/>
          <w:szCs w:val="24"/>
        </w:rPr>
        <w:t xml:space="preserve">, Amirulloh. </w:t>
      </w:r>
      <w:r w:rsidRPr="00845818">
        <w:rPr>
          <w:rFonts w:ascii="Times New Arabic" w:hAnsi="Times New Arabic"/>
          <w:bCs/>
          <w:i/>
          <w:iCs/>
          <w:sz w:val="24"/>
          <w:szCs w:val="24"/>
        </w:rPr>
        <w:t>Pearls of the Qur’an: The Qur’an’s Message for Addressing the Problems of the Ummah and the Nation</w:t>
      </w:r>
      <w:r w:rsidRPr="00730665">
        <w:rPr>
          <w:rFonts w:ascii="Times New Arabic" w:hAnsi="Times New Arabic"/>
          <w:bCs/>
          <w:sz w:val="24"/>
          <w:szCs w:val="24"/>
        </w:rPr>
        <w:t>. Jakarta: Asa Prima Pustaka, 2012.</w:t>
      </w:r>
    </w:p>
    <w:p w14:paraId="118631D7" w14:textId="77777777" w:rsidR="00580E61" w:rsidRDefault="00580E61" w:rsidP="00730665">
      <w:pPr>
        <w:spacing w:after="0" w:line="360" w:lineRule="auto"/>
        <w:ind w:left="567" w:hanging="567"/>
        <w:jc w:val="both"/>
        <w:rPr>
          <w:rFonts w:ascii="Times New Arabic" w:hAnsi="Times New Arabic"/>
          <w:bCs/>
          <w:sz w:val="24"/>
          <w:szCs w:val="24"/>
        </w:rPr>
      </w:pPr>
      <w:r w:rsidRPr="00580E61">
        <w:rPr>
          <w:rFonts w:ascii="Times New Arabic" w:hAnsi="Times New Arabic"/>
          <w:bCs/>
          <w:sz w:val="24"/>
          <w:szCs w:val="24"/>
        </w:rPr>
        <w:t>Tamaruddin</w:t>
      </w:r>
      <w:r w:rsidRPr="00730665">
        <w:rPr>
          <w:rFonts w:ascii="Times New Arabic" w:hAnsi="Times New Arabic"/>
          <w:bCs/>
          <w:sz w:val="24"/>
          <w:szCs w:val="24"/>
        </w:rPr>
        <w:t xml:space="preserve">, Andi. “Analysis of the Impact of Online Gambling on Society and Its Principles from an Islamic Legal Perspective.” </w:t>
      </w:r>
      <w:r w:rsidRPr="00845818">
        <w:rPr>
          <w:rFonts w:ascii="Times New Arabic" w:hAnsi="Times New Arabic"/>
          <w:bCs/>
          <w:i/>
          <w:iCs/>
          <w:sz w:val="24"/>
          <w:szCs w:val="24"/>
        </w:rPr>
        <w:t>Mandar: Social Science Journal</w:t>
      </w:r>
      <w:r w:rsidRPr="00730665">
        <w:rPr>
          <w:rFonts w:ascii="Times New Arabic" w:hAnsi="Times New Arabic"/>
          <w:bCs/>
          <w:sz w:val="24"/>
          <w:szCs w:val="24"/>
        </w:rPr>
        <w:t xml:space="preserve"> 3, no. 1 (2024): 7–15. </w:t>
      </w:r>
      <w:hyperlink r:id="rId33" w:history="1">
        <w:r w:rsidRPr="00CF5E75">
          <w:rPr>
            <w:rStyle w:val="Hyperlink"/>
            <w:rFonts w:ascii="Times New Arabic" w:hAnsi="Times New Arabic"/>
            <w:bCs/>
            <w:sz w:val="24"/>
            <w:szCs w:val="24"/>
          </w:rPr>
          <w:t>https://doi.org/10.31605/mssj.v3i1.3969</w:t>
        </w:r>
      </w:hyperlink>
      <w:r w:rsidRPr="00730665">
        <w:rPr>
          <w:rFonts w:ascii="Times New Arabic" w:hAnsi="Times New Arabic"/>
          <w:bCs/>
          <w:sz w:val="24"/>
          <w:szCs w:val="24"/>
        </w:rPr>
        <w:t>.</w:t>
      </w:r>
    </w:p>
    <w:p w14:paraId="6432BB5A" w14:textId="77777777" w:rsidR="00580E61" w:rsidRDefault="00580E61" w:rsidP="00730665">
      <w:pPr>
        <w:spacing w:after="0" w:line="360" w:lineRule="auto"/>
        <w:ind w:left="567" w:hanging="567"/>
        <w:jc w:val="both"/>
        <w:rPr>
          <w:rFonts w:ascii="Times New Arabic" w:hAnsi="Times New Arabic"/>
          <w:bCs/>
          <w:sz w:val="24"/>
          <w:szCs w:val="24"/>
        </w:rPr>
      </w:pPr>
      <w:r w:rsidRPr="00580E61">
        <w:rPr>
          <w:rFonts w:ascii="Times New Arabic" w:hAnsi="Times New Arabic"/>
          <w:bCs/>
          <w:sz w:val="24"/>
          <w:szCs w:val="24"/>
        </w:rPr>
        <w:t xml:space="preserve">The </w:t>
      </w:r>
      <w:r w:rsidRPr="00730665">
        <w:rPr>
          <w:rFonts w:ascii="Times New Arabic" w:hAnsi="Times New Arabic"/>
          <w:bCs/>
          <w:sz w:val="24"/>
          <w:szCs w:val="24"/>
        </w:rPr>
        <w:t xml:space="preserve">Committee for the Authentication of the Qur’anic Text. </w:t>
      </w:r>
      <w:r w:rsidRPr="00845818">
        <w:rPr>
          <w:rFonts w:ascii="Times New Arabic" w:hAnsi="Times New Arabic"/>
          <w:bCs/>
          <w:i/>
          <w:iCs/>
          <w:sz w:val="24"/>
          <w:szCs w:val="24"/>
        </w:rPr>
        <w:t>The Qur’an and Contemporary Issues II.</w:t>
      </w:r>
      <w:r w:rsidRPr="00730665">
        <w:rPr>
          <w:rFonts w:ascii="Times New Arabic" w:hAnsi="Times New Arabic"/>
          <w:bCs/>
          <w:sz w:val="24"/>
          <w:szCs w:val="24"/>
        </w:rPr>
        <w:t xml:space="preserve"> Edited by Muchlis M. Hanafi. Jakarta: The Committee for the Authentication of the Qur’anic Text, 2012.</w:t>
      </w:r>
    </w:p>
    <w:p w14:paraId="094A5905" w14:textId="77777777" w:rsidR="00580E61" w:rsidRPr="00730665" w:rsidRDefault="00580E61" w:rsidP="00DA5429">
      <w:pPr>
        <w:keepNext/>
        <w:spacing w:after="0" w:line="360" w:lineRule="auto"/>
        <w:ind w:left="567" w:hanging="567"/>
        <w:jc w:val="both"/>
        <w:rPr>
          <w:rFonts w:ascii="Times New Arabic" w:hAnsi="Times New Arabic"/>
          <w:bCs/>
          <w:sz w:val="24"/>
          <w:szCs w:val="24"/>
        </w:rPr>
      </w:pPr>
      <w:r w:rsidRPr="00580E61">
        <w:rPr>
          <w:rFonts w:ascii="Times New Arabic" w:hAnsi="Times New Arabic"/>
          <w:bCs/>
          <w:sz w:val="24"/>
          <w:szCs w:val="24"/>
        </w:rPr>
        <w:lastRenderedPageBreak/>
        <w:t xml:space="preserve">The </w:t>
      </w:r>
      <w:r w:rsidRPr="00730665">
        <w:rPr>
          <w:rFonts w:ascii="Times New Arabic" w:hAnsi="Times New Arabic"/>
          <w:bCs/>
          <w:sz w:val="24"/>
          <w:szCs w:val="24"/>
        </w:rPr>
        <w:t>Holy Qur’an</w:t>
      </w:r>
    </w:p>
    <w:p w14:paraId="0445C8D2" w14:textId="77777777" w:rsidR="00580E61" w:rsidRDefault="00580E61" w:rsidP="00730665">
      <w:pPr>
        <w:spacing w:after="0" w:line="360" w:lineRule="auto"/>
        <w:ind w:left="567" w:hanging="567"/>
        <w:jc w:val="both"/>
        <w:rPr>
          <w:rFonts w:ascii="Times New Arabic" w:hAnsi="Times New Arabic"/>
          <w:bCs/>
          <w:sz w:val="24"/>
          <w:szCs w:val="24"/>
        </w:rPr>
      </w:pPr>
      <w:r w:rsidRPr="00580E61">
        <w:rPr>
          <w:rFonts w:ascii="Times New Arabic" w:hAnsi="Times New Arabic"/>
          <w:bCs/>
          <w:sz w:val="24"/>
          <w:szCs w:val="24"/>
        </w:rPr>
        <w:t>Utami</w:t>
      </w:r>
      <w:r w:rsidRPr="00730665">
        <w:rPr>
          <w:rFonts w:ascii="Times New Arabic" w:hAnsi="Times New Arabic"/>
          <w:bCs/>
          <w:sz w:val="24"/>
          <w:szCs w:val="24"/>
        </w:rPr>
        <w:t xml:space="preserve">, Fadillah, Siti Fatimah, Adenan, and Darwis Mustakim. “Online Gambling: A Trigger for Divorce in Modern Families.” </w:t>
      </w:r>
      <w:r w:rsidRPr="00845818">
        <w:rPr>
          <w:rFonts w:ascii="Times New Arabic" w:hAnsi="Times New Arabic"/>
          <w:bCs/>
          <w:i/>
          <w:iCs/>
          <w:sz w:val="24"/>
          <w:szCs w:val="24"/>
        </w:rPr>
        <w:t>Jurnal Pengabdian Masyarakat Indonesia Sejahtera</w:t>
      </w:r>
      <w:r w:rsidRPr="00730665">
        <w:rPr>
          <w:rFonts w:ascii="Times New Arabic" w:hAnsi="Times New Arabic"/>
          <w:bCs/>
          <w:sz w:val="24"/>
          <w:szCs w:val="24"/>
        </w:rPr>
        <w:t xml:space="preserve"> 4, no. 1 (2025): 101–110.</w:t>
      </w:r>
    </w:p>
    <w:p w14:paraId="0435D604" w14:textId="77777777" w:rsidR="00580E61" w:rsidRDefault="00580E61" w:rsidP="00730665">
      <w:pPr>
        <w:spacing w:after="0" w:line="360" w:lineRule="auto"/>
        <w:ind w:left="567" w:hanging="567"/>
        <w:jc w:val="both"/>
        <w:rPr>
          <w:rFonts w:ascii="Times New Arabic" w:hAnsi="Times New Arabic"/>
          <w:bCs/>
          <w:sz w:val="24"/>
          <w:szCs w:val="24"/>
        </w:rPr>
      </w:pPr>
      <w:r w:rsidRPr="00580E61">
        <w:rPr>
          <w:rFonts w:ascii="Times New Arabic" w:hAnsi="Times New Arabic"/>
          <w:bCs/>
          <w:sz w:val="24"/>
          <w:szCs w:val="24"/>
        </w:rPr>
        <w:t>Yudhitra</w:t>
      </w:r>
      <w:r w:rsidRPr="00730665">
        <w:rPr>
          <w:rFonts w:ascii="Times New Arabic" w:hAnsi="Times New Arabic"/>
          <w:bCs/>
          <w:sz w:val="24"/>
          <w:szCs w:val="24"/>
        </w:rPr>
        <w:t xml:space="preserve">. “Social Media Ads, Affiliate Marketing, and Environmental Communication: Do They Increase Individual Interest in Participating in Online Gambling in the Greater Jakarta Area?” </w:t>
      </w:r>
      <w:r w:rsidRPr="00845818">
        <w:rPr>
          <w:rFonts w:ascii="Times New Arabic" w:hAnsi="Times New Arabic"/>
          <w:bCs/>
          <w:i/>
          <w:iCs/>
          <w:sz w:val="24"/>
          <w:szCs w:val="24"/>
        </w:rPr>
        <w:t xml:space="preserve">Digital Marketing Insight </w:t>
      </w:r>
      <w:r w:rsidRPr="00730665">
        <w:rPr>
          <w:rFonts w:ascii="Times New Arabic" w:hAnsi="Times New Arabic"/>
          <w:bCs/>
          <w:sz w:val="24"/>
          <w:szCs w:val="24"/>
        </w:rPr>
        <w:t>1, no. 1 (2025).</w:t>
      </w:r>
    </w:p>
    <w:p w14:paraId="206013FF" w14:textId="77777777" w:rsidR="00580E61" w:rsidRDefault="00580E61" w:rsidP="00730665">
      <w:pPr>
        <w:spacing w:after="0" w:line="360" w:lineRule="auto"/>
        <w:ind w:left="567" w:hanging="567"/>
        <w:jc w:val="both"/>
        <w:rPr>
          <w:rFonts w:ascii="Times New Arabic" w:hAnsi="Times New Arabic"/>
          <w:bCs/>
          <w:sz w:val="24"/>
          <w:szCs w:val="24"/>
        </w:rPr>
      </w:pPr>
      <w:r w:rsidRPr="00580E61">
        <w:rPr>
          <w:rFonts w:ascii="Times New Arabic" w:hAnsi="Times New Arabic"/>
          <w:bCs/>
          <w:sz w:val="24"/>
          <w:szCs w:val="24"/>
        </w:rPr>
        <w:t>Yulida</w:t>
      </w:r>
      <w:r w:rsidRPr="00730665">
        <w:rPr>
          <w:rFonts w:ascii="Times New Arabic" w:hAnsi="Times New Arabic"/>
          <w:bCs/>
          <w:sz w:val="24"/>
          <w:szCs w:val="24"/>
        </w:rPr>
        <w:t>, Devi, Vita Cita Emia Tarigan, Boy Laksamana, and Nita Nilan Sry Rezki</w:t>
      </w:r>
      <w:r>
        <w:rPr>
          <w:rFonts w:ascii="Times New Arabic" w:hAnsi="Times New Arabic"/>
          <w:bCs/>
          <w:sz w:val="24"/>
          <w:szCs w:val="24"/>
        </w:rPr>
        <w:t xml:space="preserve"> </w:t>
      </w:r>
      <w:r w:rsidRPr="00730665">
        <w:rPr>
          <w:rFonts w:ascii="Times New Arabic" w:hAnsi="Times New Arabic"/>
          <w:bCs/>
          <w:sz w:val="24"/>
          <w:szCs w:val="24"/>
        </w:rPr>
        <w:t>Pulungan. “A Legal Review of Online Gambling Regulations and Their Impact</w:t>
      </w:r>
      <w:r>
        <w:rPr>
          <w:rFonts w:ascii="Times New Arabic" w:hAnsi="Times New Arabic"/>
          <w:bCs/>
          <w:sz w:val="24"/>
          <w:szCs w:val="24"/>
        </w:rPr>
        <w:t xml:space="preserve"> </w:t>
      </w:r>
      <w:r w:rsidRPr="00730665">
        <w:rPr>
          <w:rFonts w:ascii="Times New Arabic" w:hAnsi="Times New Arabic"/>
          <w:bCs/>
          <w:sz w:val="24"/>
          <w:szCs w:val="24"/>
        </w:rPr>
        <w:t xml:space="preserve">on Family Resilience.” </w:t>
      </w:r>
      <w:r w:rsidRPr="00845818">
        <w:rPr>
          <w:rFonts w:ascii="Times New Arabic" w:hAnsi="Times New Arabic"/>
          <w:bCs/>
          <w:i/>
          <w:iCs/>
          <w:sz w:val="24"/>
          <w:szCs w:val="24"/>
        </w:rPr>
        <w:t xml:space="preserve">Locus: Journal of Legal Concepts </w:t>
      </w:r>
      <w:r w:rsidRPr="00730665">
        <w:rPr>
          <w:rFonts w:ascii="Times New Arabic" w:hAnsi="Times New Arabic"/>
          <w:bCs/>
          <w:sz w:val="24"/>
          <w:szCs w:val="24"/>
        </w:rPr>
        <w:t xml:space="preserve">5, no. 3 (2025): 556–568. </w:t>
      </w:r>
      <w:hyperlink r:id="rId34" w:history="1">
        <w:r w:rsidRPr="00CF5E75">
          <w:rPr>
            <w:rStyle w:val="Hyperlink"/>
            <w:rFonts w:ascii="Times New Arabic" w:hAnsi="Times New Arabic"/>
            <w:bCs/>
            <w:sz w:val="24"/>
            <w:szCs w:val="24"/>
          </w:rPr>
          <w:t>https://doi.org/10.56128/jkih.v5i3.834</w:t>
        </w:r>
      </w:hyperlink>
    </w:p>
    <w:p w14:paraId="20EBEE7D" w14:textId="77777777" w:rsidR="00580E61" w:rsidRDefault="00580E61" w:rsidP="00730665">
      <w:pPr>
        <w:spacing w:after="0" w:line="360" w:lineRule="auto"/>
        <w:ind w:left="567" w:hanging="567"/>
        <w:jc w:val="both"/>
        <w:rPr>
          <w:rFonts w:ascii="Times New Arabic" w:hAnsi="Times New Arabic"/>
          <w:bCs/>
          <w:sz w:val="24"/>
          <w:szCs w:val="24"/>
        </w:rPr>
      </w:pPr>
      <w:r w:rsidRPr="00580E61">
        <w:rPr>
          <w:rFonts w:ascii="Times New Arabic" w:hAnsi="Times New Arabic"/>
          <w:bCs/>
          <w:sz w:val="24"/>
          <w:szCs w:val="24"/>
        </w:rPr>
        <w:t>Zakfah</w:t>
      </w:r>
      <w:r w:rsidRPr="00730665">
        <w:rPr>
          <w:rFonts w:ascii="Times New Arabic" w:hAnsi="Times New Arabic"/>
          <w:bCs/>
          <w:sz w:val="24"/>
          <w:szCs w:val="24"/>
        </w:rPr>
        <w:t xml:space="preserve">, Misnawati, Arfandi Sanubari, and Imran. “Online Gambling and Marital Vulnerability: A Study of Its Impact on Family Life in Indonesia.” </w:t>
      </w:r>
      <w:r w:rsidRPr="00845818">
        <w:rPr>
          <w:rFonts w:ascii="Times New Arabic" w:hAnsi="Times New Arabic"/>
          <w:bCs/>
          <w:i/>
          <w:iCs/>
          <w:sz w:val="24"/>
          <w:szCs w:val="24"/>
        </w:rPr>
        <w:t>At-Tafakur: Journal of Sharia and Law</w:t>
      </w:r>
      <w:r w:rsidRPr="00730665">
        <w:rPr>
          <w:rFonts w:ascii="Times New Arabic" w:hAnsi="Times New Arabic"/>
          <w:bCs/>
          <w:sz w:val="24"/>
          <w:szCs w:val="24"/>
        </w:rPr>
        <w:t xml:space="preserve"> 1, no. 1 (2024): 83–103.</w:t>
      </w:r>
    </w:p>
    <w:p w14:paraId="185D46A0" w14:textId="77777777" w:rsidR="002C3956" w:rsidRPr="00730665" w:rsidRDefault="002C3956" w:rsidP="00730665">
      <w:pPr>
        <w:spacing w:after="0" w:line="360" w:lineRule="auto"/>
        <w:jc w:val="both"/>
        <w:rPr>
          <w:rFonts w:ascii="Times New Arabic" w:hAnsi="Times New Arabic"/>
          <w:bCs/>
          <w:sz w:val="24"/>
          <w:szCs w:val="24"/>
        </w:rPr>
      </w:pPr>
    </w:p>
    <w:p w14:paraId="12FC8A49" w14:textId="286D2E22" w:rsidR="00511E8C" w:rsidRPr="00D93C26" w:rsidRDefault="00511E8C" w:rsidP="000127EB">
      <w:pPr>
        <w:widowControl w:val="0"/>
        <w:spacing w:after="0" w:line="360" w:lineRule="auto"/>
        <w:jc w:val="both"/>
        <w:rPr>
          <w:rFonts w:ascii="Times New Arabic" w:hAnsi="Times New Arabic"/>
          <w:bCs/>
          <w:sz w:val="24"/>
          <w:szCs w:val="24"/>
        </w:rPr>
      </w:pPr>
    </w:p>
    <w:sectPr w:rsidR="00511E8C" w:rsidRPr="00D93C26" w:rsidSect="00534E22">
      <w:headerReference w:type="even" r:id="rId35"/>
      <w:headerReference w:type="default" r:id="rId36"/>
      <w:footerReference w:type="even" r:id="rId37"/>
      <w:footerReference w:type="default" r:id="rId38"/>
      <w:pgSz w:w="10318" w:h="14570" w:code="13"/>
      <w:pgMar w:top="1701" w:right="1418" w:bottom="1701" w:left="1418" w:header="1134" w:footer="794" w:gutter="0"/>
      <w:pgNumType w:start="35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79942B" w14:textId="77777777" w:rsidR="00CE0783" w:rsidRDefault="00CE0783" w:rsidP="00AC7CB5">
      <w:pPr>
        <w:spacing w:after="0" w:line="240" w:lineRule="auto"/>
      </w:pPr>
      <w:r>
        <w:separator/>
      </w:r>
    </w:p>
  </w:endnote>
  <w:endnote w:type="continuationSeparator" w:id="0">
    <w:p w14:paraId="2F866FDD" w14:textId="77777777" w:rsidR="00CE0783" w:rsidRDefault="00CE0783" w:rsidP="00AC7C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Arabic">
    <w:panose1 w:val="020206030504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PMQ Isep Misbah">
    <w:altName w:val="Arial"/>
    <w:charset w:val="00"/>
    <w:family w:val="auto"/>
    <w:pitch w:val="variable"/>
    <w:sig w:usb0="00002003" w:usb1="1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Gentium Basic">
    <w:altName w:val="Times New Roman"/>
    <w:charset w:val="00"/>
    <w:family w:val="auto"/>
    <w:pitch w:val="variable"/>
    <w:sig w:usb0="00000001" w:usb1="4000204A" w:usb2="00000000" w:usb3="00000000" w:csb0="0000001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179F4C" w14:textId="22EAF7F1" w:rsidR="00D04F74" w:rsidRPr="00534E22" w:rsidRDefault="00534E22" w:rsidP="00534E22">
    <w:pPr>
      <w:pStyle w:val="Footer"/>
      <w:jc w:val="right"/>
      <w:rPr>
        <w:rFonts w:ascii="Gentium Basic" w:hAnsi="Gentium Basic"/>
        <w:sz w:val="20"/>
        <w:szCs w:val="20"/>
        <w:lang w:val="id-ID"/>
      </w:rPr>
    </w:pPr>
    <w:r>
      <w:rPr>
        <w:rFonts w:ascii="Gentium Basic" w:hAnsi="Gentium Basic"/>
        <w:i/>
        <w:iCs/>
        <w:sz w:val="20"/>
        <w:szCs w:val="20"/>
      </w:rPr>
      <w:t>a</w:t>
    </w:r>
    <w:r>
      <w:rPr>
        <w:rFonts w:ascii="Gentium Basic" w:hAnsi="Gentium Basic"/>
        <w:i/>
        <w:iCs/>
        <w:sz w:val="20"/>
        <w:szCs w:val="20"/>
        <w:lang w:val="id-ID"/>
      </w:rPr>
      <w:t>l-Munir</w:t>
    </w:r>
    <w:r w:rsidRPr="00775EAF">
      <w:rPr>
        <w:rFonts w:ascii="Gentium Basic" w:hAnsi="Gentium Basic"/>
        <w:i/>
        <w:iCs/>
        <w:sz w:val="20"/>
        <w:szCs w:val="20"/>
      </w:rPr>
      <w:t xml:space="preserve">: </w:t>
    </w:r>
    <w:r>
      <w:rPr>
        <w:rFonts w:ascii="Gentium Basic" w:hAnsi="Gentium Basic"/>
        <w:i/>
        <w:iCs/>
        <w:sz w:val="20"/>
        <w:szCs w:val="20"/>
        <w:lang w:val="id-ID"/>
      </w:rPr>
      <w:t>Jurnal Ilmu al-Qur’an dan Tafsir</w:t>
    </w:r>
    <w:r>
      <w:t xml:space="preserve"> </w:t>
    </w:r>
    <w:r>
      <w:tab/>
    </w:r>
    <w:r>
      <w:tab/>
    </w:r>
    <w:sdt>
      <w:sdtPr>
        <w:id w:val="-1327278981"/>
        <w:docPartObj>
          <w:docPartGallery w:val="Page Numbers (Bottom of Page)"/>
          <w:docPartUnique/>
        </w:docPartObj>
      </w:sdtPr>
      <w:sdtEndPr>
        <w:rPr>
          <w:rFonts w:ascii="Gentium Basic" w:hAnsi="Gentium Basic"/>
          <w:sz w:val="20"/>
          <w:szCs w:val="20"/>
          <w:lang w:val="id-ID"/>
        </w:rPr>
      </w:sdtEndPr>
      <w:sdtContent>
        <w:r w:rsidRPr="00EB53BE">
          <w:rPr>
            <w:rFonts w:ascii="Gentium Basic" w:hAnsi="Gentium Basic"/>
            <w:sz w:val="20"/>
            <w:szCs w:val="20"/>
            <w:lang w:val="id-ID"/>
          </w:rPr>
          <w:fldChar w:fldCharType="begin"/>
        </w:r>
        <w:r w:rsidRPr="00EB53BE">
          <w:rPr>
            <w:rFonts w:ascii="Gentium Basic" w:hAnsi="Gentium Basic"/>
            <w:sz w:val="20"/>
            <w:szCs w:val="20"/>
            <w:lang w:val="id-ID"/>
          </w:rPr>
          <w:instrText>PAGE   \* MERGEFORMAT</w:instrText>
        </w:r>
        <w:r w:rsidRPr="00EB53BE">
          <w:rPr>
            <w:rFonts w:ascii="Gentium Basic" w:hAnsi="Gentium Basic"/>
            <w:sz w:val="20"/>
            <w:szCs w:val="20"/>
            <w:lang w:val="id-ID"/>
          </w:rPr>
          <w:fldChar w:fldCharType="separate"/>
        </w:r>
        <w:r>
          <w:rPr>
            <w:rFonts w:ascii="Gentium Basic" w:hAnsi="Gentium Basic"/>
            <w:sz w:val="20"/>
            <w:szCs w:val="20"/>
            <w:lang w:val="id-ID"/>
          </w:rPr>
          <w:t>335</w:t>
        </w:r>
        <w:r w:rsidRPr="00EB53BE">
          <w:rPr>
            <w:rFonts w:ascii="Gentium Basic" w:hAnsi="Gentium Basic"/>
            <w:sz w:val="20"/>
            <w:szCs w:val="20"/>
            <w:lang w:val="id-ID"/>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96552212"/>
      <w:docPartObj>
        <w:docPartGallery w:val="Page Numbers (Bottom of Page)"/>
        <w:docPartUnique/>
      </w:docPartObj>
    </w:sdtPr>
    <w:sdtContent>
      <w:p w14:paraId="45D0A569" w14:textId="7EDD36B8" w:rsidR="00534E22" w:rsidRDefault="00534E22" w:rsidP="00534E22">
        <w:pPr>
          <w:pStyle w:val="Footer"/>
          <w:tabs>
            <w:tab w:val="clear" w:pos="4680"/>
          </w:tabs>
        </w:pPr>
        <w:r w:rsidRPr="00EB53BE">
          <w:rPr>
            <w:rFonts w:ascii="Gentium Basic" w:hAnsi="Gentium Basic"/>
            <w:sz w:val="20"/>
            <w:szCs w:val="20"/>
            <w:lang w:val="id-ID"/>
          </w:rPr>
          <w:fldChar w:fldCharType="begin"/>
        </w:r>
        <w:r w:rsidRPr="00EB53BE">
          <w:rPr>
            <w:rFonts w:ascii="Gentium Basic" w:hAnsi="Gentium Basic"/>
            <w:sz w:val="20"/>
            <w:szCs w:val="20"/>
            <w:lang w:val="id-ID"/>
          </w:rPr>
          <w:instrText>PAGE   \* MERGEFORMAT</w:instrText>
        </w:r>
        <w:r w:rsidRPr="00EB53BE">
          <w:rPr>
            <w:rFonts w:ascii="Gentium Basic" w:hAnsi="Gentium Basic"/>
            <w:sz w:val="20"/>
            <w:szCs w:val="20"/>
            <w:lang w:val="id-ID"/>
          </w:rPr>
          <w:fldChar w:fldCharType="separate"/>
        </w:r>
        <w:r>
          <w:rPr>
            <w:rFonts w:ascii="Gentium Basic" w:hAnsi="Gentium Basic"/>
            <w:sz w:val="20"/>
            <w:szCs w:val="20"/>
            <w:lang w:val="id-ID"/>
          </w:rPr>
          <w:t>336</w:t>
        </w:r>
        <w:r w:rsidRPr="00EB53BE">
          <w:rPr>
            <w:rFonts w:ascii="Gentium Basic" w:hAnsi="Gentium Basic"/>
            <w:sz w:val="20"/>
            <w:szCs w:val="20"/>
            <w:lang w:val="id-ID"/>
          </w:rPr>
          <w:fldChar w:fldCharType="end"/>
        </w:r>
        <w:r w:rsidRPr="00CA4CC6">
          <w:rPr>
            <w:rFonts w:ascii="Gentium Basic" w:hAnsi="Gentium Basic"/>
            <w:i/>
            <w:iCs/>
            <w:sz w:val="20"/>
            <w:szCs w:val="20"/>
            <w:lang w:val="id-ID"/>
          </w:rPr>
          <w:t xml:space="preserve"> </w:t>
        </w:r>
        <w:r>
          <w:rPr>
            <w:rFonts w:ascii="Gentium Basic" w:hAnsi="Gentium Basic"/>
            <w:i/>
            <w:iCs/>
            <w:sz w:val="20"/>
            <w:szCs w:val="20"/>
            <w:lang w:val="id-ID"/>
          </w:rPr>
          <w:tab/>
        </w:r>
        <w:r>
          <w:rPr>
            <w:rFonts w:ascii="Gentium Basic" w:hAnsi="Gentium Basic"/>
            <w:i/>
            <w:iCs/>
            <w:sz w:val="20"/>
            <w:szCs w:val="20"/>
          </w:rPr>
          <w:t>a</w:t>
        </w:r>
        <w:r>
          <w:rPr>
            <w:rFonts w:ascii="Gentium Basic" w:hAnsi="Gentium Basic"/>
            <w:i/>
            <w:iCs/>
            <w:sz w:val="20"/>
            <w:szCs w:val="20"/>
            <w:lang w:val="id-ID"/>
          </w:rPr>
          <w:t>l-Munir</w:t>
        </w:r>
        <w:r w:rsidRPr="00775EAF">
          <w:rPr>
            <w:rFonts w:ascii="Gentium Basic" w:hAnsi="Gentium Basic"/>
            <w:i/>
            <w:iCs/>
            <w:sz w:val="20"/>
            <w:szCs w:val="20"/>
          </w:rPr>
          <w:t xml:space="preserve">: </w:t>
        </w:r>
        <w:r>
          <w:rPr>
            <w:rFonts w:ascii="Gentium Basic" w:hAnsi="Gentium Basic"/>
            <w:i/>
            <w:iCs/>
            <w:sz w:val="20"/>
            <w:szCs w:val="20"/>
            <w:lang w:val="id-ID"/>
          </w:rPr>
          <w:t>Jurnal Ilmu al-Qur’an dan Tafsir</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740B93" w14:textId="77777777" w:rsidR="00CE0783" w:rsidRDefault="00CE0783" w:rsidP="00AC7CB5">
      <w:pPr>
        <w:spacing w:after="0" w:line="240" w:lineRule="auto"/>
      </w:pPr>
      <w:r>
        <w:separator/>
      </w:r>
    </w:p>
  </w:footnote>
  <w:footnote w:type="continuationSeparator" w:id="0">
    <w:p w14:paraId="327438E4" w14:textId="77777777" w:rsidR="00CE0783" w:rsidRDefault="00CE0783" w:rsidP="00AC7CB5">
      <w:pPr>
        <w:spacing w:after="0" w:line="240" w:lineRule="auto"/>
      </w:pPr>
      <w:r>
        <w:continuationSeparator/>
      </w:r>
    </w:p>
  </w:footnote>
  <w:footnote w:id="1">
    <w:p w14:paraId="3D5A1C26" w14:textId="41593F02" w:rsidR="00CE79F6" w:rsidRPr="002C3956" w:rsidRDefault="00CE79F6" w:rsidP="00534E22">
      <w:pPr>
        <w:pStyle w:val="FootnoteText"/>
        <w:spacing w:after="120"/>
        <w:ind w:firstLine="567"/>
        <w:jc w:val="both"/>
        <w:rPr>
          <w:rFonts w:ascii="Times New Arabic" w:hAnsi="Times New Arabic"/>
          <w:lang w:val="en-ID"/>
        </w:rPr>
      </w:pPr>
      <w:r w:rsidRPr="002C3956">
        <w:rPr>
          <w:rStyle w:val="FootnoteReference"/>
          <w:rFonts w:ascii="Times New Arabic" w:hAnsi="Times New Arabic"/>
        </w:rPr>
        <w:footnoteRef/>
      </w:r>
      <w:r w:rsidRPr="002C3956">
        <w:rPr>
          <w:rFonts w:ascii="Times New Arabic" w:hAnsi="Times New Arabic"/>
        </w:rPr>
        <w:t xml:space="preserve"> Annisa Laras, Najwa Salvabillah, Cindy Caroline, Jusini Delas H, Farra Dinda, and Mic Finanto, “Analysis of the Impact of </w:t>
      </w:r>
      <w:r w:rsidR="0024003A" w:rsidRPr="0024003A">
        <w:rPr>
          <w:rFonts w:ascii="Times New Arabic" w:hAnsi="Times New Arabic"/>
        </w:rPr>
        <w:t>Online</w:t>
      </w:r>
      <w:r w:rsidRPr="002C3956">
        <w:rPr>
          <w:rFonts w:ascii="Times New Arabic" w:hAnsi="Times New Arabic"/>
        </w:rPr>
        <w:t xml:space="preserve"> Gambling in Indonesia,” </w:t>
      </w:r>
      <w:r w:rsidRPr="000A354F">
        <w:rPr>
          <w:rFonts w:ascii="Times New Arabic" w:hAnsi="Times New Arabic"/>
          <w:i/>
          <w:iCs/>
        </w:rPr>
        <w:t>Konsep: Journal of Social Sciences, Humanities, and Education</w:t>
      </w:r>
      <w:r w:rsidRPr="002C3956">
        <w:rPr>
          <w:rFonts w:ascii="Times New Arabic" w:hAnsi="Times New Arabic"/>
        </w:rPr>
        <w:t xml:space="preserve"> 4, no. 2 (2025): 141.</w:t>
      </w:r>
    </w:p>
  </w:footnote>
  <w:footnote w:id="2">
    <w:p w14:paraId="73822874" w14:textId="72FCBAA9" w:rsidR="00CE79F6" w:rsidRPr="002C3956" w:rsidRDefault="00CE79F6" w:rsidP="00534E22">
      <w:pPr>
        <w:pStyle w:val="FootnoteText"/>
        <w:spacing w:after="120"/>
        <w:ind w:firstLine="567"/>
        <w:jc w:val="both"/>
        <w:rPr>
          <w:rFonts w:ascii="Times New Arabic" w:hAnsi="Times New Arabic"/>
          <w:lang w:val="en-ID"/>
        </w:rPr>
      </w:pPr>
      <w:r w:rsidRPr="002C3956">
        <w:rPr>
          <w:rStyle w:val="FootnoteReference"/>
          <w:rFonts w:ascii="Times New Arabic" w:hAnsi="Times New Arabic"/>
        </w:rPr>
        <w:footnoteRef/>
      </w:r>
      <w:r w:rsidRPr="002C3956">
        <w:rPr>
          <w:rFonts w:ascii="Times New Arabic" w:hAnsi="Times New Arabic"/>
        </w:rPr>
        <w:t xml:space="preserve"> </w:t>
      </w:r>
      <w:r w:rsidRPr="005D6571">
        <w:rPr>
          <w:rFonts w:ascii="Times New Arabic" w:hAnsi="Times New Arabic"/>
          <w:i/>
          <w:iCs/>
        </w:rPr>
        <w:t>ibid</w:t>
      </w:r>
    </w:p>
  </w:footnote>
  <w:footnote w:id="3">
    <w:p w14:paraId="60D9AEC8" w14:textId="1FB7C83D" w:rsidR="00CE79F6" w:rsidRPr="002C3956" w:rsidRDefault="00CE79F6" w:rsidP="00534E22">
      <w:pPr>
        <w:pStyle w:val="FootnoteText"/>
        <w:spacing w:after="120"/>
        <w:ind w:firstLine="567"/>
        <w:jc w:val="both"/>
        <w:rPr>
          <w:rFonts w:ascii="Times New Arabic" w:hAnsi="Times New Arabic"/>
          <w:lang w:val="en-ID"/>
        </w:rPr>
      </w:pPr>
      <w:r w:rsidRPr="002C3956">
        <w:rPr>
          <w:rStyle w:val="FootnoteReference"/>
          <w:rFonts w:ascii="Times New Arabic" w:hAnsi="Times New Arabic"/>
        </w:rPr>
        <w:footnoteRef/>
      </w:r>
      <w:r w:rsidRPr="002C3956">
        <w:rPr>
          <w:rFonts w:ascii="Times New Arabic" w:hAnsi="Times New Arabic"/>
        </w:rPr>
        <w:t xml:space="preserve"> Financial Transaction Reporting and Analysis Center (PPATK), </w:t>
      </w:r>
      <w:r w:rsidRPr="005D6571">
        <w:rPr>
          <w:rFonts w:ascii="Times New Arabic" w:hAnsi="Times New Arabic"/>
          <w:i/>
          <w:iCs/>
        </w:rPr>
        <w:t>PPATK Strategic Achievements Report 2025: Safeguarding the Nation’s Economic Sovereignty and Integrity</w:t>
      </w:r>
      <w:r w:rsidRPr="002C3956">
        <w:rPr>
          <w:rFonts w:ascii="Times New Arabic" w:hAnsi="Times New Arabic"/>
        </w:rPr>
        <w:t xml:space="preserve"> (Jakarta, January 28, 2026), 4.</w:t>
      </w:r>
    </w:p>
  </w:footnote>
  <w:footnote w:id="4">
    <w:p w14:paraId="24758D84" w14:textId="4E887BD9" w:rsidR="00CE79F6" w:rsidRPr="00A22818" w:rsidRDefault="00CE79F6" w:rsidP="00534E22">
      <w:pPr>
        <w:pStyle w:val="FootnoteText"/>
        <w:spacing w:after="120"/>
        <w:ind w:firstLine="567"/>
        <w:jc w:val="both"/>
        <w:rPr>
          <w:rFonts w:ascii="Times New Arabic" w:hAnsi="Times New Arabic"/>
        </w:rPr>
      </w:pPr>
      <w:r w:rsidRPr="00A22818">
        <w:rPr>
          <w:rStyle w:val="FootnoteReference"/>
          <w:rFonts w:ascii="Times New Arabic" w:hAnsi="Times New Arabic"/>
        </w:rPr>
        <w:footnoteRef/>
      </w:r>
      <w:r w:rsidR="00A22818" w:rsidRPr="00A22818">
        <w:rPr>
          <w:rFonts w:ascii="Times New Arabic" w:hAnsi="Times New Arabic"/>
        </w:rPr>
        <w:t xml:space="preserve"> Financial Transaction Reporting and Analysis Center (PPATK). </w:t>
      </w:r>
      <w:r w:rsidR="00A22818" w:rsidRPr="00A22818">
        <w:rPr>
          <w:rFonts w:ascii="Times New Arabic" w:hAnsi="Times New Arabic"/>
          <w:i/>
          <w:iCs/>
        </w:rPr>
        <w:t>PPATK’s Integrity in Safeguarding Indonesia’s Asta Cita: 2024 Annual Report</w:t>
      </w:r>
      <w:r w:rsidR="00A22818" w:rsidRPr="00A22818">
        <w:rPr>
          <w:rFonts w:ascii="Times New Arabic" w:hAnsi="Times New Arabic"/>
        </w:rPr>
        <w:t>. Jakarta: PPATK, 2024. 72-73</w:t>
      </w:r>
    </w:p>
  </w:footnote>
  <w:footnote w:id="5">
    <w:p w14:paraId="496C1F41" w14:textId="03CC12C6" w:rsidR="00CE79F6" w:rsidRPr="002C3956" w:rsidRDefault="00CE79F6" w:rsidP="00534E22">
      <w:pPr>
        <w:pStyle w:val="FootnoteText"/>
        <w:spacing w:after="120"/>
        <w:ind w:firstLine="567"/>
        <w:jc w:val="both"/>
        <w:rPr>
          <w:rFonts w:ascii="Times New Arabic" w:hAnsi="Times New Arabic"/>
        </w:rPr>
      </w:pPr>
      <w:r w:rsidRPr="002C3956">
        <w:rPr>
          <w:rStyle w:val="FootnoteReference"/>
          <w:rFonts w:ascii="Times New Arabic" w:hAnsi="Times New Arabic"/>
        </w:rPr>
        <w:footnoteRef/>
      </w:r>
      <w:r w:rsidRPr="002C3956">
        <w:rPr>
          <w:rFonts w:ascii="Times New Arabic" w:hAnsi="Times New Arabic"/>
        </w:rPr>
        <w:t xml:space="preserve"> </w:t>
      </w:r>
      <w:r w:rsidR="00A901A7" w:rsidRPr="002C3956">
        <w:rPr>
          <w:rFonts w:ascii="Times New Arabic" w:hAnsi="Times New Arabic"/>
        </w:rPr>
        <w:t xml:space="preserve">Suwito, “Legal and Social Impacts of </w:t>
      </w:r>
      <w:r w:rsidR="0024003A" w:rsidRPr="0024003A">
        <w:rPr>
          <w:rFonts w:ascii="Times New Arabic" w:hAnsi="Times New Arabic"/>
        </w:rPr>
        <w:t>Online</w:t>
      </w:r>
      <w:r w:rsidR="00A901A7" w:rsidRPr="002C3956">
        <w:rPr>
          <w:rFonts w:ascii="Times New Arabic" w:hAnsi="Times New Arabic"/>
        </w:rPr>
        <w:t xml:space="preserve"> Gambling in Indonesia: Challenges in Law</w:t>
      </w:r>
      <w:r w:rsidR="000A354F">
        <w:rPr>
          <w:rFonts w:ascii="Times New Arabic" w:hAnsi="Times New Arabic"/>
        </w:rPr>
        <w:t xml:space="preserve"> </w:t>
      </w:r>
      <w:r w:rsidR="00A901A7" w:rsidRPr="002C3956">
        <w:rPr>
          <w:rFonts w:ascii="Times New Arabic" w:hAnsi="Times New Arabic"/>
        </w:rPr>
        <w:t xml:space="preserve">Enforcement,” </w:t>
      </w:r>
      <w:r w:rsidR="00A901A7" w:rsidRPr="000A354F">
        <w:rPr>
          <w:rFonts w:ascii="Times New Arabic" w:hAnsi="Times New Arabic"/>
          <w:i/>
          <w:iCs/>
        </w:rPr>
        <w:t>Indonesian Journal of Intellectual Publication</w:t>
      </w:r>
      <w:r w:rsidR="00A901A7" w:rsidRPr="002C3956">
        <w:rPr>
          <w:rFonts w:ascii="Times New Arabic" w:hAnsi="Times New Arabic"/>
        </w:rPr>
        <w:t xml:space="preserve"> 5, no. 1 (2024), 83–84.</w:t>
      </w:r>
    </w:p>
  </w:footnote>
  <w:footnote w:id="6">
    <w:p w14:paraId="3450F44C" w14:textId="6911BA92" w:rsidR="00A901A7" w:rsidRPr="002C3956" w:rsidRDefault="00A901A7" w:rsidP="00534E22">
      <w:pPr>
        <w:pStyle w:val="FootnoteText"/>
        <w:spacing w:after="120"/>
        <w:ind w:firstLine="567"/>
        <w:jc w:val="both"/>
        <w:rPr>
          <w:rFonts w:ascii="Times New Arabic" w:hAnsi="Times New Arabic"/>
          <w:lang w:val="en-ID"/>
        </w:rPr>
      </w:pPr>
      <w:r w:rsidRPr="002C3956">
        <w:rPr>
          <w:rStyle w:val="FootnoteReference"/>
          <w:rFonts w:ascii="Times New Arabic" w:hAnsi="Times New Arabic"/>
        </w:rPr>
        <w:footnoteRef/>
      </w:r>
      <w:r w:rsidRPr="002C3956">
        <w:rPr>
          <w:rFonts w:ascii="Times New Arabic" w:hAnsi="Times New Arabic"/>
        </w:rPr>
        <w:t xml:space="preserve"> Ahmad Al Jawwas Damanhuri, Dwi Ari Kurniawati, and Abdul Wafi, “The Impact of </w:t>
      </w:r>
      <w:r w:rsidR="0024003A" w:rsidRPr="0024003A">
        <w:rPr>
          <w:rFonts w:ascii="Times New Arabic" w:hAnsi="Times New Arabic"/>
        </w:rPr>
        <w:t>Online</w:t>
      </w:r>
      <w:r w:rsidRPr="002C3956">
        <w:rPr>
          <w:rFonts w:ascii="Times New Arabic" w:hAnsi="Times New Arabic"/>
        </w:rPr>
        <w:t xml:space="preserve"> Gambling on Family Harmony from an Islamic Law Perspective (Case Study of Watuagung Village, Bungah Subdistrict, Gresik Regency),” </w:t>
      </w:r>
      <w:r w:rsidRPr="000A354F">
        <w:rPr>
          <w:rFonts w:ascii="Times New Arabic" w:hAnsi="Times New Arabic"/>
          <w:i/>
          <w:iCs/>
        </w:rPr>
        <w:t>Hikmatina: Journal of Islamic Family Law</w:t>
      </w:r>
      <w:r w:rsidRPr="002C3956">
        <w:rPr>
          <w:rFonts w:ascii="Times New Arabic" w:hAnsi="Times New Arabic"/>
        </w:rPr>
        <w:t xml:space="preserve"> 6, no. 2 (2024): 334.</w:t>
      </w:r>
    </w:p>
  </w:footnote>
  <w:footnote w:id="7">
    <w:p w14:paraId="6FAE73E5" w14:textId="547E3F34" w:rsidR="00A901A7" w:rsidRPr="000A354F" w:rsidRDefault="00A901A7" w:rsidP="00534E22">
      <w:pPr>
        <w:pStyle w:val="FootnoteText"/>
        <w:spacing w:after="120"/>
        <w:ind w:firstLine="567"/>
        <w:jc w:val="both"/>
        <w:rPr>
          <w:rFonts w:ascii="Times New Arabic" w:hAnsi="Times New Arabic"/>
        </w:rPr>
      </w:pPr>
      <w:r w:rsidRPr="002C3956">
        <w:rPr>
          <w:rStyle w:val="FootnoteReference"/>
          <w:rFonts w:ascii="Times New Arabic" w:hAnsi="Times New Arabic"/>
        </w:rPr>
        <w:footnoteRef/>
      </w:r>
      <w:r w:rsidRPr="002C3956">
        <w:rPr>
          <w:rFonts w:ascii="Times New Arabic" w:hAnsi="Times New Arabic"/>
        </w:rPr>
        <w:t xml:space="preserve"> Andi Tamaruddin, “Analysis of the Influence of </w:t>
      </w:r>
      <w:r w:rsidR="0024003A" w:rsidRPr="0024003A">
        <w:rPr>
          <w:rFonts w:ascii="Times New Arabic" w:hAnsi="Times New Arabic"/>
        </w:rPr>
        <w:t>Online</w:t>
      </w:r>
      <w:r w:rsidRPr="002C3956">
        <w:rPr>
          <w:rFonts w:ascii="Times New Arabic" w:hAnsi="Times New Arabic"/>
        </w:rPr>
        <w:t xml:space="preserve"> Gambling in Its Existence and</w:t>
      </w:r>
      <w:r w:rsidR="000A354F">
        <w:rPr>
          <w:rFonts w:ascii="Times New Arabic" w:hAnsi="Times New Arabic"/>
        </w:rPr>
        <w:t xml:space="preserve"> </w:t>
      </w:r>
      <w:r w:rsidRPr="002C3956">
        <w:rPr>
          <w:rFonts w:ascii="Times New Arabic" w:hAnsi="Times New Arabic"/>
        </w:rPr>
        <w:t xml:space="preserve">Principles from an Islamic Law Perspective,” </w:t>
      </w:r>
      <w:r w:rsidRPr="000A354F">
        <w:rPr>
          <w:rFonts w:ascii="Times New Arabic" w:hAnsi="Times New Arabic"/>
          <w:i/>
          <w:iCs/>
        </w:rPr>
        <w:t>Mandar: Social Science Journal</w:t>
      </w:r>
      <w:r w:rsidRPr="002C3956">
        <w:rPr>
          <w:rFonts w:ascii="Times New Arabic" w:hAnsi="Times New Arabic"/>
        </w:rPr>
        <w:t xml:space="preserve"> 3, no. 1 (2024), 8.</w:t>
      </w:r>
    </w:p>
  </w:footnote>
  <w:footnote w:id="8">
    <w:p w14:paraId="59496DE8" w14:textId="793A9788" w:rsidR="00A901A7" w:rsidRPr="002C3956" w:rsidRDefault="00A901A7" w:rsidP="00534E22">
      <w:pPr>
        <w:pStyle w:val="FootnoteText"/>
        <w:spacing w:after="120"/>
        <w:ind w:firstLine="567"/>
        <w:jc w:val="both"/>
        <w:rPr>
          <w:rFonts w:ascii="Times New Arabic" w:hAnsi="Times New Arabic"/>
          <w:lang w:val="en-ID"/>
        </w:rPr>
      </w:pPr>
      <w:r w:rsidRPr="002C3956">
        <w:rPr>
          <w:rStyle w:val="FootnoteReference"/>
          <w:rFonts w:ascii="Times New Arabic" w:hAnsi="Times New Arabic"/>
        </w:rPr>
        <w:footnoteRef/>
      </w:r>
      <w:r w:rsidRPr="002C3956">
        <w:rPr>
          <w:rFonts w:ascii="Times New Arabic" w:hAnsi="Times New Arabic"/>
        </w:rPr>
        <w:t xml:space="preserve"> Devi Yulida, Vita Cita Emia Tarigan, Boy Laksamana, and Nita Nilan Sry Rezki Pulungan, “A Legal Review of </w:t>
      </w:r>
      <w:r w:rsidR="0024003A" w:rsidRPr="0024003A">
        <w:rPr>
          <w:rFonts w:ascii="Times New Arabic" w:hAnsi="Times New Arabic"/>
        </w:rPr>
        <w:t>Online</w:t>
      </w:r>
      <w:r w:rsidRPr="002C3956">
        <w:rPr>
          <w:rFonts w:ascii="Times New Arabic" w:hAnsi="Times New Arabic"/>
        </w:rPr>
        <w:t xml:space="preserve"> Gambling Regulations and Their Impact on Family Resilience,” </w:t>
      </w:r>
      <w:r w:rsidRPr="000A354F">
        <w:rPr>
          <w:rFonts w:ascii="Times New Arabic" w:hAnsi="Times New Arabic"/>
          <w:i/>
          <w:iCs/>
        </w:rPr>
        <w:t>Locus: Journal of Legal Concepts</w:t>
      </w:r>
      <w:r w:rsidRPr="002C3956">
        <w:rPr>
          <w:rFonts w:ascii="Times New Arabic" w:hAnsi="Times New Arabic"/>
        </w:rPr>
        <w:t xml:space="preserve"> 5, no. 3 (2025): 556.</w:t>
      </w:r>
    </w:p>
  </w:footnote>
  <w:footnote w:id="9">
    <w:p w14:paraId="78B8A8D6" w14:textId="0428DE38" w:rsidR="00A901A7" w:rsidRPr="002C3956" w:rsidRDefault="00A901A7" w:rsidP="00534E22">
      <w:pPr>
        <w:pStyle w:val="FootnoteText"/>
        <w:spacing w:after="120"/>
        <w:ind w:firstLine="567"/>
        <w:jc w:val="both"/>
        <w:rPr>
          <w:rFonts w:ascii="Times New Arabic" w:hAnsi="Times New Arabic"/>
          <w:lang w:val="en-ID"/>
        </w:rPr>
      </w:pPr>
      <w:r w:rsidRPr="002C3956">
        <w:rPr>
          <w:rStyle w:val="FootnoteReference"/>
          <w:rFonts w:ascii="Times New Arabic" w:hAnsi="Times New Arabic"/>
        </w:rPr>
        <w:footnoteRef/>
      </w:r>
      <w:r w:rsidRPr="002C3956">
        <w:rPr>
          <w:rFonts w:ascii="Times New Arabic" w:hAnsi="Times New Arabic"/>
        </w:rPr>
        <w:t xml:space="preserve"> Asman, “The Negative Impact of </w:t>
      </w:r>
      <w:r w:rsidR="0024003A" w:rsidRPr="0024003A">
        <w:rPr>
          <w:rFonts w:ascii="Times New Arabic" w:hAnsi="Times New Arabic"/>
        </w:rPr>
        <w:t>Online</w:t>
      </w:r>
      <w:r w:rsidRPr="002C3956">
        <w:rPr>
          <w:rFonts w:ascii="Times New Arabic" w:hAnsi="Times New Arabic"/>
        </w:rPr>
        <w:t xml:space="preserve"> Gambling on Family Harmony from the Perspective of Islamic Family Law,” </w:t>
      </w:r>
      <w:r w:rsidRPr="000A354F">
        <w:rPr>
          <w:rFonts w:ascii="Times New Arabic" w:hAnsi="Times New Arabic"/>
          <w:i/>
          <w:iCs/>
        </w:rPr>
        <w:t>Ahlika: Journal of Family Law and Islamic Law</w:t>
      </w:r>
      <w:r w:rsidRPr="002C3956">
        <w:rPr>
          <w:rFonts w:ascii="Times New Arabic" w:hAnsi="Times New Arabic"/>
        </w:rPr>
        <w:t xml:space="preserve"> 1, no. 1 (2024): 11.</w:t>
      </w:r>
    </w:p>
  </w:footnote>
  <w:footnote w:id="10">
    <w:p w14:paraId="63A07296" w14:textId="03D5E691" w:rsidR="00A901A7" w:rsidRPr="000A354F" w:rsidRDefault="00A901A7" w:rsidP="00534E22">
      <w:pPr>
        <w:pStyle w:val="FootnoteText"/>
        <w:spacing w:after="120"/>
        <w:ind w:firstLine="567"/>
        <w:jc w:val="both"/>
        <w:rPr>
          <w:rFonts w:ascii="Times New Arabic" w:hAnsi="Times New Arabic"/>
        </w:rPr>
      </w:pPr>
      <w:r w:rsidRPr="002C3956">
        <w:rPr>
          <w:rStyle w:val="FootnoteReference"/>
          <w:rFonts w:ascii="Times New Arabic" w:hAnsi="Times New Arabic"/>
        </w:rPr>
        <w:footnoteRef/>
      </w:r>
      <w:r w:rsidRPr="002C3956">
        <w:rPr>
          <w:rFonts w:ascii="Times New Arabic" w:hAnsi="Times New Arabic"/>
        </w:rPr>
        <w:t xml:space="preserve"> Serliyana, “The Impact of </w:t>
      </w:r>
      <w:r w:rsidR="0024003A" w:rsidRPr="0024003A">
        <w:rPr>
          <w:rFonts w:ascii="Times New Arabic" w:hAnsi="Times New Arabic"/>
        </w:rPr>
        <w:t>Online</w:t>
      </w:r>
      <w:r w:rsidRPr="002C3956">
        <w:rPr>
          <w:rFonts w:ascii="Times New Arabic" w:hAnsi="Times New Arabic"/>
        </w:rPr>
        <w:t xml:space="preserve"> Gambling on the Family Economy from the Perspective</w:t>
      </w:r>
      <w:r w:rsidR="000A354F">
        <w:rPr>
          <w:rFonts w:ascii="Times New Arabic" w:hAnsi="Times New Arabic"/>
        </w:rPr>
        <w:t xml:space="preserve"> </w:t>
      </w:r>
      <w:r w:rsidRPr="002C3956">
        <w:rPr>
          <w:rFonts w:ascii="Times New Arabic" w:hAnsi="Times New Arabic"/>
        </w:rPr>
        <w:t>of Maqashid Sharia,” Al-Iqtishady: Journal of Sharia Economics 4, no. 1 (2026): 27.</w:t>
      </w:r>
    </w:p>
  </w:footnote>
  <w:footnote w:id="11">
    <w:p w14:paraId="17B0F0C2" w14:textId="1FC8E456" w:rsidR="00A901A7" w:rsidRPr="002C3956" w:rsidRDefault="00A901A7" w:rsidP="00534E22">
      <w:pPr>
        <w:pStyle w:val="FootnoteText"/>
        <w:spacing w:after="120"/>
        <w:ind w:firstLine="567"/>
        <w:jc w:val="both"/>
        <w:rPr>
          <w:rFonts w:ascii="Times New Arabic" w:hAnsi="Times New Arabic"/>
          <w:lang w:val="en-ID"/>
        </w:rPr>
      </w:pPr>
      <w:r w:rsidRPr="002C3956">
        <w:rPr>
          <w:rStyle w:val="FootnoteReference"/>
          <w:rFonts w:ascii="Times New Arabic" w:hAnsi="Times New Arabic"/>
        </w:rPr>
        <w:footnoteRef/>
      </w:r>
      <w:r w:rsidRPr="002C3956">
        <w:rPr>
          <w:rFonts w:ascii="Times New Arabic" w:hAnsi="Times New Arabic"/>
        </w:rPr>
        <w:t xml:space="preserve"> Ririn and Syamzaimar, “Interpretation of Surah Al-Maidah, Verses 90–91, as an Islamic Solution to the Phenomenon of </w:t>
      </w:r>
      <w:r w:rsidR="0024003A" w:rsidRPr="0024003A">
        <w:rPr>
          <w:rFonts w:ascii="Times New Arabic" w:hAnsi="Times New Arabic"/>
        </w:rPr>
        <w:t>Online</w:t>
      </w:r>
      <w:r w:rsidRPr="002C3956">
        <w:rPr>
          <w:rFonts w:ascii="Times New Arabic" w:hAnsi="Times New Arabic"/>
        </w:rPr>
        <w:t xml:space="preserve"> Gambling in Modern Society,” </w:t>
      </w:r>
      <w:r w:rsidRPr="000A354F">
        <w:rPr>
          <w:rFonts w:ascii="Times New Arabic" w:hAnsi="Times New Arabic"/>
          <w:i/>
          <w:iCs/>
        </w:rPr>
        <w:t>IHSAN: Journal of Islamic Education</w:t>
      </w:r>
      <w:r w:rsidRPr="002C3956">
        <w:rPr>
          <w:rFonts w:ascii="Times New Arabic" w:hAnsi="Times New Arabic"/>
        </w:rPr>
        <w:t xml:space="preserve"> 3, no. 4 (2025): 1136.</w:t>
      </w:r>
    </w:p>
  </w:footnote>
  <w:footnote w:id="12">
    <w:p w14:paraId="295AB5F9" w14:textId="19FBBD9A" w:rsidR="00A901A7" w:rsidRPr="002C3956" w:rsidRDefault="00A901A7" w:rsidP="00534E22">
      <w:pPr>
        <w:pStyle w:val="FootnoteText"/>
        <w:spacing w:after="120"/>
        <w:ind w:firstLine="567"/>
        <w:jc w:val="both"/>
        <w:rPr>
          <w:rFonts w:ascii="Times New Arabic" w:hAnsi="Times New Arabic"/>
          <w:lang w:val="en-ID"/>
        </w:rPr>
      </w:pPr>
      <w:r w:rsidRPr="002C3956">
        <w:rPr>
          <w:rStyle w:val="FootnoteReference"/>
          <w:rFonts w:ascii="Times New Arabic" w:hAnsi="Times New Arabic"/>
        </w:rPr>
        <w:footnoteRef/>
      </w:r>
      <w:r w:rsidRPr="002C3956">
        <w:rPr>
          <w:rFonts w:ascii="Times New Arabic" w:hAnsi="Times New Arabic"/>
        </w:rPr>
        <w:t xml:space="preserve"> Muhammad Arif Saman and Hery Sahputra, “Guiding the Generation: Lessons from Al- Azhar and Al-Misbah on </w:t>
      </w:r>
      <w:r w:rsidR="006313C3" w:rsidRPr="006313C3">
        <w:rPr>
          <w:rFonts w:ascii="Times New Arabic" w:hAnsi="Times New Arabic"/>
          <w:i/>
        </w:rPr>
        <w:t>Maysir</w:t>
      </w:r>
      <w:r w:rsidRPr="002C3956">
        <w:rPr>
          <w:rFonts w:ascii="Times New Arabic" w:hAnsi="Times New Arabic"/>
        </w:rPr>
        <w:t xml:space="preserve"> and Moral Conduct,” </w:t>
      </w:r>
      <w:r w:rsidRPr="000A354F">
        <w:rPr>
          <w:rFonts w:ascii="Times New Arabic" w:hAnsi="Times New Arabic"/>
          <w:i/>
          <w:iCs/>
        </w:rPr>
        <w:t>Raushan Fikr Student</w:t>
      </w:r>
      <w:r w:rsidR="000A354F" w:rsidRPr="000A354F">
        <w:rPr>
          <w:rFonts w:ascii="Times New Arabic" w:hAnsi="Times New Arabic"/>
          <w:i/>
          <w:iCs/>
        </w:rPr>
        <w:t xml:space="preserve"> </w:t>
      </w:r>
      <w:r w:rsidRPr="000A354F">
        <w:rPr>
          <w:rFonts w:ascii="Times New Arabic" w:hAnsi="Times New Arabic"/>
          <w:i/>
          <w:iCs/>
        </w:rPr>
        <w:t>Scientific Journal</w:t>
      </w:r>
      <w:r w:rsidRPr="002C3956">
        <w:rPr>
          <w:rFonts w:ascii="Times New Arabic" w:hAnsi="Times New Arabic"/>
        </w:rPr>
        <w:t xml:space="preserve"> 14, no. 1 (2025): 80.</w:t>
      </w:r>
    </w:p>
  </w:footnote>
  <w:footnote w:id="13">
    <w:p w14:paraId="7D646AE3" w14:textId="191FCEA6" w:rsidR="00A901A7" w:rsidRPr="002C3956" w:rsidRDefault="00A901A7" w:rsidP="00534E22">
      <w:pPr>
        <w:pStyle w:val="FootnoteText"/>
        <w:spacing w:after="120"/>
        <w:ind w:firstLine="567"/>
        <w:jc w:val="both"/>
        <w:rPr>
          <w:rFonts w:ascii="Times New Arabic" w:hAnsi="Times New Arabic"/>
          <w:lang w:val="en-ID"/>
        </w:rPr>
      </w:pPr>
      <w:r w:rsidRPr="002C3956">
        <w:rPr>
          <w:rStyle w:val="FootnoteReference"/>
          <w:rFonts w:ascii="Times New Arabic" w:hAnsi="Times New Arabic"/>
        </w:rPr>
        <w:footnoteRef/>
      </w:r>
      <w:r w:rsidRPr="002C3956">
        <w:rPr>
          <w:rFonts w:ascii="Times New Arabic" w:hAnsi="Times New Arabic"/>
        </w:rPr>
        <w:t xml:space="preserve"> Jani Arni, Methods of Exegetical Research (Pekanbaru: Daulat Riau, 2013), 83–84.</w:t>
      </w:r>
    </w:p>
  </w:footnote>
  <w:footnote w:id="14">
    <w:p w14:paraId="093B1670" w14:textId="26D6C86C" w:rsidR="000D42D7" w:rsidRPr="002C3956" w:rsidRDefault="000D42D7" w:rsidP="00534E22">
      <w:pPr>
        <w:pStyle w:val="FootnoteText"/>
        <w:spacing w:after="120"/>
        <w:ind w:firstLine="567"/>
        <w:jc w:val="both"/>
        <w:rPr>
          <w:rFonts w:ascii="Times New Arabic" w:hAnsi="Times New Arabic"/>
          <w:lang w:val="en-ID"/>
        </w:rPr>
      </w:pPr>
      <w:r w:rsidRPr="002C3956">
        <w:rPr>
          <w:rStyle w:val="FootnoteReference"/>
          <w:rFonts w:ascii="Times New Arabic" w:hAnsi="Times New Arabic"/>
        </w:rPr>
        <w:footnoteRef/>
      </w:r>
      <w:r w:rsidRPr="002C3956">
        <w:rPr>
          <w:rFonts w:ascii="Times New Arabic" w:hAnsi="Times New Arabic"/>
        </w:rPr>
        <w:t xml:space="preserve"> Language Center, </w:t>
      </w:r>
      <w:r w:rsidRPr="00F62EAD">
        <w:rPr>
          <w:rFonts w:ascii="Times New Arabic" w:hAnsi="Times New Arabic"/>
          <w:i/>
          <w:iCs/>
        </w:rPr>
        <w:t>Indonesian Dictionary</w:t>
      </w:r>
      <w:r w:rsidRPr="002C3956">
        <w:rPr>
          <w:rFonts w:ascii="Times New Arabic" w:hAnsi="Times New Arabic"/>
        </w:rPr>
        <w:t xml:space="preserve"> (Jakarta: Language Center, 2008), 644.</w:t>
      </w:r>
    </w:p>
  </w:footnote>
  <w:footnote w:id="15">
    <w:p w14:paraId="7E495C40" w14:textId="5B112BBD" w:rsidR="000D42D7" w:rsidRPr="002C3956" w:rsidRDefault="000D42D7" w:rsidP="00534E22">
      <w:pPr>
        <w:pStyle w:val="FootnoteText"/>
        <w:spacing w:after="120"/>
        <w:ind w:firstLine="567"/>
        <w:jc w:val="both"/>
        <w:rPr>
          <w:rFonts w:ascii="Times New Arabic" w:hAnsi="Times New Arabic"/>
          <w:lang w:val="en-ID"/>
        </w:rPr>
      </w:pPr>
      <w:r w:rsidRPr="002C3956">
        <w:rPr>
          <w:rStyle w:val="FootnoteReference"/>
          <w:rFonts w:ascii="Times New Arabic" w:hAnsi="Times New Arabic"/>
        </w:rPr>
        <w:footnoteRef/>
      </w:r>
      <w:r w:rsidRPr="002C3956">
        <w:rPr>
          <w:rFonts w:ascii="Times New Arabic" w:hAnsi="Times New Arabic"/>
        </w:rPr>
        <w:t xml:space="preserve"> Achmad Warson Munawwir and Muhammad Fairuz, </w:t>
      </w:r>
      <w:r w:rsidRPr="00F62EAD">
        <w:rPr>
          <w:rFonts w:ascii="Times New Arabic" w:hAnsi="Times New Arabic"/>
          <w:i/>
          <w:iCs/>
        </w:rPr>
        <w:t>Al-Munawwir: Indonesian-Arabic Dictionary</w:t>
      </w:r>
      <w:r w:rsidRPr="002C3956">
        <w:rPr>
          <w:rFonts w:ascii="Times New Arabic" w:hAnsi="Times New Arabic"/>
        </w:rPr>
        <w:t xml:space="preserve"> (Surabaya: Pustaka Progressif, 2007), 1589</w:t>
      </w:r>
    </w:p>
  </w:footnote>
  <w:footnote w:id="16">
    <w:p w14:paraId="134931B7" w14:textId="37ACDADE" w:rsidR="000D42D7" w:rsidRPr="002C3956" w:rsidRDefault="000D42D7" w:rsidP="00534E22">
      <w:pPr>
        <w:pStyle w:val="FootnoteText"/>
        <w:spacing w:after="120"/>
        <w:ind w:firstLine="567"/>
        <w:jc w:val="both"/>
        <w:rPr>
          <w:rFonts w:ascii="Times New Arabic" w:hAnsi="Times New Arabic"/>
          <w:lang w:val="en-ID"/>
        </w:rPr>
      </w:pPr>
      <w:r w:rsidRPr="002C3956">
        <w:rPr>
          <w:rStyle w:val="FootnoteReference"/>
          <w:rFonts w:ascii="Times New Arabic" w:hAnsi="Times New Arabic"/>
        </w:rPr>
        <w:footnoteRef/>
      </w:r>
      <w:r w:rsidRPr="002C3956">
        <w:rPr>
          <w:rFonts w:ascii="Times New Arabic" w:hAnsi="Times New Arabic"/>
        </w:rPr>
        <w:t xml:space="preserve"> </w:t>
      </w:r>
      <w:r w:rsidRPr="00F62EAD">
        <w:rPr>
          <w:rFonts w:ascii="Times New Arabic" w:hAnsi="Times New Arabic"/>
          <w:i/>
          <w:iCs/>
        </w:rPr>
        <w:t>Ibid</w:t>
      </w:r>
    </w:p>
  </w:footnote>
  <w:footnote w:id="17">
    <w:p w14:paraId="01D63BE8" w14:textId="386AE456" w:rsidR="000D42D7" w:rsidRPr="00F62EAD" w:rsidRDefault="000D42D7" w:rsidP="00534E22">
      <w:pPr>
        <w:pStyle w:val="FootnoteText"/>
        <w:spacing w:after="120"/>
        <w:ind w:firstLine="567"/>
        <w:jc w:val="both"/>
        <w:rPr>
          <w:rFonts w:ascii="Times New Arabic" w:hAnsi="Times New Arabic"/>
        </w:rPr>
      </w:pPr>
      <w:r w:rsidRPr="002C3956">
        <w:rPr>
          <w:rStyle w:val="FootnoteReference"/>
          <w:rFonts w:ascii="Times New Arabic" w:hAnsi="Times New Arabic"/>
        </w:rPr>
        <w:footnoteRef/>
      </w:r>
      <w:r w:rsidRPr="002C3956">
        <w:rPr>
          <w:rFonts w:ascii="Times New Arabic" w:hAnsi="Times New Arabic"/>
        </w:rPr>
        <w:t xml:space="preserve"> Dewi Laela Hilyatin, “The Prohibition of Gambling in the Qur’an and Its Relevance to the</w:t>
      </w:r>
      <w:r w:rsidR="00F62EAD">
        <w:rPr>
          <w:rFonts w:ascii="Times New Arabic" w:hAnsi="Times New Arabic"/>
        </w:rPr>
        <w:t xml:space="preserve"> </w:t>
      </w:r>
      <w:r w:rsidRPr="002C3956">
        <w:rPr>
          <w:rFonts w:ascii="Times New Arabic" w:hAnsi="Times New Arabic"/>
        </w:rPr>
        <w:t>Economy</w:t>
      </w:r>
      <w:r w:rsidRPr="00F62EAD">
        <w:rPr>
          <w:rFonts w:ascii="Times New Arabic" w:hAnsi="Times New Arabic"/>
          <w:i/>
          <w:iCs/>
        </w:rPr>
        <w:t>,” MAGHZA: Journal of Qur’anic Studies and Exegesis</w:t>
      </w:r>
      <w:r w:rsidRPr="002C3956">
        <w:rPr>
          <w:rFonts w:ascii="Times New Arabic" w:hAnsi="Times New Arabic"/>
        </w:rPr>
        <w:t xml:space="preserve"> 6, no. 1 (2021): 18.</w:t>
      </w:r>
    </w:p>
  </w:footnote>
  <w:footnote w:id="18">
    <w:p w14:paraId="11B36A32" w14:textId="5B9DF110" w:rsidR="000D42D7" w:rsidRPr="000A354F" w:rsidRDefault="000D42D7" w:rsidP="00534E22">
      <w:pPr>
        <w:pStyle w:val="FootnoteText"/>
        <w:spacing w:after="120"/>
        <w:ind w:firstLine="567"/>
        <w:jc w:val="both"/>
        <w:rPr>
          <w:rFonts w:ascii="Times New Arabic" w:hAnsi="Times New Arabic"/>
        </w:rPr>
      </w:pPr>
      <w:r w:rsidRPr="002C3956">
        <w:rPr>
          <w:rStyle w:val="FootnoteReference"/>
          <w:rFonts w:ascii="Times New Arabic" w:hAnsi="Times New Arabic"/>
        </w:rPr>
        <w:footnoteRef/>
      </w:r>
      <w:r w:rsidRPr="002C3956">
        <w:rPr>
          <w:rFonts w:ascii="Times New Arabic" w:hAnsi="Times New Arabic"/>
        </w:rPr>
        <w:t xml:space="preserve"> Dimas Noto Kusumo, Muhammad Rizky Ramadhan, and Sulistyani Febrianti, “The Rise of</w:t>
      </w:r>
      <w:r w:rsidR="000A354F">
        <w:rPr>
          <w:rFonts w:ascii="Times New Arabic" w:hAnsi="Times New Arabic"/>
        </w:rPr>
        <w:t xml:space="preserve"> </w:t>
      </w:r>
      <w:r w:rsidR="0024003A" w:rsidRPr="0024003A">
        <w:rPr>
          <w:rFonts w:ascii="Times New Arabic" w:hAnsi="Times New Arabic"/>
        </w:rPr>
        <w:t>Online</w:t>
      </w:r>
      <w:r w:rsidRPr="002C3956">
        <w:rPr>
          <w:rFonts w:ascii="Times New Arabic" w:hAnsi="Times New Arabic"/>
        </w:rPr>
        <w:t xml:space="preserve"> Gambling Among Urban and Rural Communities,” </w:t>
      </w:r>
      <w:r w:rsidRPr="00F62EAD">
        <w:rPr>
          <w:rFonts w:ascii="Times New Arabic" w:hAnsi="Times New Arabic"/>
          <w:i/>
          <w:iCs/>
        </w:rPr>
        <w:t>Perspektif</w:t>
      </w:r>
      <w:r w:rsidR="00131030">
        <w:rPr>
          <w:rFonts w:ascii="Times New Arabic" w:hAnsi="Times New Arabic"/>
        </w:rPr>
        <w:t xml:space="preserve"> </w:t>
      </w:r>
      <w:r w:rsidRPr="002C3956">
        <w:rPr>
          <w:rFonts w:ascii="Times New Arabic" w:hAnsi="Times New Arabic"/>
        </w:rPr>
        <w:t>2, no. 2 (2023): 226.</w:t>
      </w:r>
    </w:p>
  </w:footnote>
  <w:footnote w:id="19">
    <w:p w14:paraId="4DD6A9A0" w14:textId="044F3933" w:rsidR="000D42D7" w:rsidRPr="00F32572" w:rsidRDefault="000D42D7" w:rsidP="00534E22">
      <w:pPr>
        <w:pStyle w:val="FootnoteText"/>
        <w:spacing w:after="120"/>
        <w:ind w:firstLine="567"/>
        <w:jc w:val="both"/>
        <w:rPr>
          <w:rFonts w:ascii="Times New Arabic" w:hAnsi="Times New Arabic"/>
          <w:lang w:val="en-ID"/>
        </w:rPr>
      </w:pPr>
      <w:r w:rsidRPr="00F32572">
        <w:rPr>
          <w:rStyle w:val="FootnoteReference"/>
          <w:rFonts w:ascii="Times New Arabic" w:hAnsi="Times New Arabic"/>
        </w:rPr>
        <w:footnoteRef/>
      </w:r>
      <w:r w:rsidRPr="00F32572">
        <w:rPr>
          <w:rFonts w:ascii="Times New Arabic" w:hAnsi="Times New Arabic"/>
        </w:rPr>
        <w:t xml:space="preserve"> Muhammad Ridhwan Hanafi, Imamudin Al Fathir, Inayya Az-zahra, and Asyari Hasan, “The Urgency of Sharia Education Regarding the High Prevalence of </w:t>
      </w:r>
      <w:r w:rsidR="0024003A" w:rsidRPr="00F32572">
        <w:rPr>
          <w:rFonts w:ascii="Times New Arabic" w:hAnsi="Times New Arabic"/>
        </w:rPr>
        <w:t>Online</w:t>
      </w:r>
      <w:r w:rsidRPr="00F32572">
        <w:rPr>
          <w:rFonts w:ascii="Times New Arabic" w:hAnsi="Times New Arabic"/>
        </w:rPr>
        <w:t xml:space="preserve"> Gambling in Society and Its Impact on Economic Circulation,” </w:t>
      </w:r>
      <w:r w:rsidRPr="00F32572">
        <w:rPr>
          <w:rFonts w:ascii="Times New Arabic" w:hAnsi="Times New Arabic"/>
          <w:i/>
          <w:iCs/>
        </w:rPr>
        <w:t xml:space="preserve">Jurnal Ilmiah Wahana Pendidikan </w:t>
      </w:r>
      <w:r w:rsidRPr="00F32572">
        <w:rPr>
          <w:rFonts w:ascii="Times New Arabic" w:hAnsi="Times New Arabic"/>
        </w:rPr>
        <w:t>10, no. 17 (2024): 553.</w:t>
      </w:r>
    </w:p>
  </w:footnote>
  <w:footnote w:id="20">
    <w:p w14:paraId="32A38668" w14:textId="5A7F4B6B" w:rsidR="000D42D7" w:rsidRPr="002C3956" w:rsidRDefault="000D42D7" w:rsidP="00534E22">
      <w:pPr>
        <w:pStyle w:val="FootnoteText"/>
        <w:spacing w:after="120"/>
        <w:ind w:firstLine="567"/>
        <w:jc w:val="both"/>
        <w:rPr>
          <w:rFonts w:ascii="Times New Arabic" w:hAnsi="Times New Arabic"/>
          <w:lang w:val="en-ID"/>
        </w:rPr>
      </w:pPr>
      <w:r w:rsidRPr="002C3956">
        <w:rPr>
          <w:rStyle w:val="FootnoteReference"/>
          <w:rFonts w:ascii="Times New Arabic" w:hAnsi="Times New Arabic"/>
        </w:rPr>
        <w:footnoteRef/>
      </w:r>
      <w:r w:rsidRPr="002C3956">
        <w:rPr>
          <w:rFonts w:ascii="Times New Arabic" w:hAnsi="Times New Arabic"/>
        </w:rPr>
        <w:t xml:space="preserve"> Mukhammad Alfani, Farichatul Fauziyah, and Ahmad Zamzami Mudhofar Abu Zayyid, “The Application of the Values of Sahih al-Bukhari Hadith No. 6159 in Addressing </w:t>
      </w:r>
      <w:r w:rsidR="0024003A" w:rsidRPr="0024003A">
        <w:rPr>
          <w:rFonts w:ascii="Times New Arabic" w:hAnsi="Times New Arabic"/>
        </w:rPr>
        <w:t>Online</w:t>
      </w:r>
      <w:r w:rsidRPr="002C3956">
        <w:rPr>
          <w:rFonts w:ascii="Times New Arabic" w:hAnsi="Times New Arabic"/>
        </w:rPr>
        <w:t xml:space="preserve"> Gambling Among the Younger Generation,” </w:t>
      </w:r>
      <w:r w:rsidRPr="00F62EAD">
        <w:rPr>
          <w:rFonts w:ascii="Times New Arabic" w:hAnsi="Times New Arabic"/>
          <w:i/>
          <w:iCs/>
        </w:rPr>
        <w:t>Dirayah: Journal of Hadith Studies</w:t>
      </w:r>
      <w:r w:rsidRPr="002C3956">
        <w:rPr>
          <w:rFonts w:ascii="Times New Arabic" w:hAnsi="Times New Arabic"/>
        </w:rPr>
        <w:t xml:space="preserve"> 5, no. 1 (2024): 83.</w:t>
      </w:r>
    </w:p>
  </w:footnote>
  <w:footnote w:id="21">
    <w:p w14:paraId="08E54339" w14:textId="3AF91AFF" w:rsidR="000D42D7" w:rsidRPr="002C3956" w:rsidRDefault="000D42D7" w:rsidP="00534E22">
      <w:pPr>
        <w:spacing w:after="120" w:line="240" w:lineRule="auto"/>
        <w:ind w:firstLine="567"/>
        <w:jc w:val="both"/>
        <w:rPr>
          <w:rFonts w:ascii="Times New Arabic" w:hAnsi="Times New Arabic" w:cs="Times New Roman"/>
          <w:sz w:val="20"/>
          <w:szCs w:val="20"/>
        </w:rPr>
      </w:pPr>
      <w:r w:rsidRPr="002C3956">
        <w:rPr>
          <w:rStyle w:val="FootnoteReference"/>
          <w:rFonts w:ascii="Times New Arabic" w:hAnsi="Times New Arabic"/>
        </w:rPr>
        <w:footnoteRef/>
      </w:r>
      <w:r w:rsidRPr="002C3956">
        <w:rPr>
          <w:rFonts w:ascii="Times New Arabic" w:hAnsi="Times New Arabic"/>
        </w:rPr>
        <w:t xml:space="preserve"> </w:t>
      </w:r>
      <w:r w:rsidRPr="002C3956">
        <w:rPr>
          <w:rFonts w:ascii="Times New Arabic" w:hAnsi="Times New Arabic" w:cs="Times New Roman"/>
          <w:sz w:val="20"/>
          <w:szCs w:val="20"/>
        </w:rPr>
        <w:t xml:space="preserve">Abi Arsyan Makarim Subagyo and Laras Astuti, “Factors Influencing College Students to Engage in </w:t>
      </w:r>
      <w:r w:rsidR="0024003A" w:rsidRPr="0024003A">
        <w:rPr>
          <w:rFonts w:ascii="Times New Arabic" w:hAnsi="Times New Arabic" w:cs="Times New Roman"/>
          <w:sz w:val="20"/>
          <w:szCs w:val="20"/>
        </w:rPr>
        <w:t>Online</w:t>
      </w:r>
      <w:r w:rsidRPr="002C3956">
        <w:rPr>
          <w:rFonts w:ascii="Times New Arabic" w:hAnsi="Times New Arabic" w:cs="Times New Roman"/>
          <w:sz w:val="20"/>
          <w:szCs w:val="20"/>
        </w:rPr>
        <w:t xml:space="preserve"> Gambling,” </w:t>
      </w:r>
      <w:r w:rsidRPr="00F62EAD">
        <w:rPr>
          <w:rFonts w:ascii="Times New Arabic" w:hAnsi="Times New Arabic" w:cs="Times New Roman"/>
          <w:i/>
          <w:iCs/>
          <w:sz w:val="20"/>
          <w:szCs w:val="20"/>
        </w:rPr>
        <w:t>Indonesian Journal of Criminal Law and Criminolog</w:t>
      </w:r>
      <w:r w:rsidR="0061001A" w:rsidRPr="00F62EAD">
        <w:rPr>
          <w:rFonts w:ascii="Times New Arabic" w:hAnsi="Times New Arabic" w:cs="Times New Roman"/>
          <w:i/>
          <w:iCs/>
          <w:sz w:val="20"/>
          <w:szCs w:val="20"/>
        </w:rPr>
        <w:t>y (IJCLC)</w:t>
      </w:r>
      <w:r w:rsidR="0061001A" w:rsidRPr="002C3956">
        <w:rPr>
          <w:rFonts w:ascii="Times New Arabic" w:hAnsi="Times New Arabic" w:cs="Times New Roman"/>
          <w:sz w:val="20"/>
          <w:szCs w:val="20"/>
        </w:rPr>
        <w:t xml:space="preserve"> 3, no. 3 (2022): 184.</w:t>
      </w:r>
    </w:p>
  </w:footnote>
  <w:footnote w:id="22">
    <w:p w14:paraId="2C6DEB59" w14:textId="2DA80A6C" w:rsidR="0061001A" w:rsidRPr="002C3956" w:rsidRDefault="0061001A" w:rsidP="00534E22">
      <w:pPr>
        <w:pStyle w:val="FootnoteText"/>
        <w:spacing w:after="120"/>
        <w:ind w:firstLine="567"/>
        <w:jc w:val="both"/>
        <w:rPr>
          <w:rFonts w:ascii="Times New Arabic" w:hAnsi="Times New Arabic"/>
          <w:lang w:val="en-ID"/>
        </w:rPr>
      </w:pPr>
      <w:r w:rsidRPr="002C3956">
        <w:rPr>
          <w:rStyle w:val="FootnoteReference"/>
          <w:rFonts w:ascii="Times New Arabic" w:hAnsi="Times New Arabic"/>
        </w:rPr>
        <w:footnoteRef/>
      </w:r>
      <w:r w:rsidRPr="002C3956">
        <w:rPr>
          <w:rFonts w:ascii="Times New Arabic" w:hAnsi="Times New Arabic"/>
        </w:rPr>
        <w:t xml:space="preserve"> Septu Haudli Bakhtiar and Azizah Nur Adilah, “The Phenomenon of </w:t>
      </w:r>
      <w:r w:rsidR="0024003A" w:rsidRPr="0024003A">
        <w:rPr>
          <w:rFonts w:ascii="Times New Arabic" w:hAnsi="Times New Arabic"/>
        </w:rPr>
        <w:t>Online</w:t>
      </w:r>
      <w:r w:rsidRPr="002C3956">
        <w:rPr>
          <w:rFonts w:ascii="Times New Arabic" w:hAnsi="Times New Arabic"/>
        </w:rPr>
        <w:t xml:space="preserve"> Gambling: Factors, Impacts, and Legal Liability,” </w:t>
      </w:r>
      <w:r w:rsidRPr="00F62EAD">
        <w:rPr>
          <w:rFonts w:ascii="Times New Arabic" w:hAnsi="Times New Arabic"/>
          <w:i/>
          <w:iCs/>
        </w:rPr>
        <w:t>Innovative: Journal of Social Science Research</w:t>
      </w:r>
      <w:r w:rsidRPr="002C3956">
        <w:rPr>
          <w:rFonts w:ascii="Times New Arabic" w:hAnsi="Times New Arabic"/>
        </w:rPr>
        <w:t xml:space="preserve"> 4, no. 3 (2024): 1019</w:t>
      </w:r>
    </w:p>
  </w:footnote>
  <w:footnote w:id="23">
    <w:p w14:paraId="559577F1" w14:textId="227D527E" w:rsidR="0061001A" w:rsidRPr="002C3956" w:rsidRDefault="0061001A" w:rsidP="00534E22">
      <w:pPr>
        <w:pStyle w:val="FootnoteText"/>
        <w:spacing w:after="120"/>
        <w:ind w:firstLine="567"/>
        <w:jc w:val="both"/>
        <w:rPr>
          <w:rFonts w:ascii="Times New Arabic" w:hAnsi="Times New Arabic"/>
          <w:lang w:val="en-ID"/>
        </w:rPr>
      </w:pPr>
      <w:r w:rsidRPr="002C3956">
        <w:rPr>
          <w:rStyle w:val="FootnoteReference"/>
          <w:rFonts w:ascii="Times New Arabic" w:hAnsi="Times New Arabic"/>
        </w:rPr>
        <w:footnoteRef/>
      </w:r>
      <w:r w:rsidRPr="002C3956">
        <w:rPr>
          <w:rFonts w:ascii="Times New Arabic" w:hAnsi="Times New Arabic"/>
        </w:rPr>
        <w:t xml:space="preserve"> Yudhitra, “Social Media Ads, Affiliate Marketing, and Environmental Communication: Do They Increase Individual Interest in Participating in </w:t>
      </w:r>
      <w:r w:rsidR="0024003A" w:rsidRPr="0024003A">
        <w:rPr>
          <w:rFonts w:ascii="Times New Arabic" w:hAnsi="Times New Arabic"/>
        </w:rPr>
        <w:t>Online</w:t>
      </w:r>
      <w:r w:rsidRPr="002C3956">
        <w:rPr>
          <w:rFonts w:ascii="Times New Arabic" w:hAnsi="Times New Arabic"/>
        </w:rPr>
        <w:t xml:space="preserve"> Gambling in the Greater Jakarta Area?,” </w:t>
      </w:r>
      <w:r w:rsidRPr="00F62EAD">
        <w:rPr>
          <w:rFonts w:ascii="Times New Arabic" w:hAnsi="Times New Arabic"/>
          <w:i/>
          <w:iCs/>
        </w:rPr>
        <w:t>Digital Marketing Insight</w:t>
      </w:r>
      <w:r w:rsidRPr="002C3956">
        <w:rPr>
          <w:rFonts w:ascii="Times New Arabic" w:hAnsi="Times New Arabic"/>
        </w:rPr>
        <w:t xml:space="preserve"> 1, no. 1 (2025): 10.</w:t>
      </w:r>
    </w:p>
  </w:footnote>
  <w:footnote w:id="24">
    <w:p w14:paraId="47DE6A23" w14:textId="6EE32D3E" w:rsidR="0061001A" w:rsidRPr="002C3956" w:rsidRDefault="0061001A" w:rsidP="00534E22">
      <w:pPr>
        <w:pStyle w:val="FootnoteText"/>
        <w:spacing w:after="120"/>
        <w:ind w:firstLine="567"/>
        <w:jc w:val="both"/>
        <w:rPr>
          <w:rFonts w:ascii="Times New Arabic" w:hAnsi="Times New Arabic"/>
          <w:lang w:val="en-ID"/>
        </w:rPr>
      </w:pPr>
      <w:r w:rsidRPr="002C3956">
        <w:rPr>
          <w:rStyle w:val="FootnoteReference"/>
          <w:rFonts w:ascii="Times New Arabic" w:hAnsi="Times New Arabic"/>
        </w:rPr>
        <w:footnoteRef/>
      </w:r>
      <w:r w:rsidRPr="002C3956">
        <w:rPr>
          <w:rFonts w:ascii="Times New Arabic" w:hAnsi="Times New Arabic"/>
        </w:rPr>
        <w:t xml:space="preserve"> Misnawati Zakfah, Arfandi Sanubari, and Imran, “</w:t>
      </w:r>
      <w:r w:rsidR="0024003A" w:rsidRPr="0024003A">
        <w:rPr>
          <w:rFonts w:ascii="Times New Arabic" w:hAnsi="Times New Arabic"/>
        </w:rPr>
        <w:t>Online</w:t>
      </w:r>
      <w:r w:rsidRPr="002C3956">
        <w:rPr>
          <w:rFonts w:ascii="Times New Arabic" w:hAnsi="Times New Arabic"/>
        </w:rPr>
        <w:t xml:space="preserve"> Gambling and Marital Vulnerability: A Study of Its Impact on Family Life in Indonesia,” </w:t>
      </w:r>
      <w:r w:rsidRPr="00F62EAD">
        <w:rPr>
          <w:rFonts w:ascii="Times New Arabic" w:hAnsi="Times New Arabic"/>
          <w:i/>
          <w:iCs/>
        </w:rPr>
        <w:t>At-Tafakur: Journal of Sharia and Law</w:t>
      </w:r>
      <w:r w:rsidRPr="002C3956">
        <w:rPr>
          <w:rFonts w:ascii="Times New Arabic" w:hAnsi="Times New Arabic"/>
        </w:rPr>
        <w:t xml:space="preserve"> 1, no. 1 (2024): 91</w:t>
      </w:r>
    </w:p>
  </w:footnote>
  <w:footnote w:id="25">
    <w:p w14:paraId="47DB4EC7" w14:textId="444282DC" w:rsidR="0061001A" w:rsidRPr="002C3956" w:rsidRDefault="0061001A" w:rsidP="00534E22">
      <w:pPr>
        <w:spacing w:after="120" w:line="240" w:lineRule="auto"/>
        <w:ind w:firstLine="567"/>
        <w:jc w:val="both"/>
        <w:rPr>
          <w:rFonts w:ascii="Times New Arabic" w:hAnsi="Times New Arabic" w:cs="Times New Roman"/>
          <w:sz w:val="20"/>
          <w:szCs w:val="20"/>
        </w:rPr>
      </w:pPr>
      <w:r w:rsidRPr="002C3956">
        <w:rPr>
          <w:rStyle w:val="FootnoteReference"/>
          <w:rFonts w:ascii="Times New Arabic" w:hAnsi="Times New Arabic"/>
        </w:rPr>
        <w:footnoteRef/>
      </w:r>
      <w:r w:rsidRPr="002C3956">
        <w:rPr>
          <w:rFonts w:ascii="Times New Arabic" w:hAnsi="Times New Arabic" w:cs="Times New Roman"/>
          <w:sz w:val="20"/>
          <w:szCs w:val="20"/>
        </w:rPr>
        <w:t>Michela Ghelfi, Paola Scattola, Gilberto Giudici, and Veronica Velasco, “</w:t>
      </w:r>
      <w:r w:rsidR="0024003A" w:rsidRPr="0024003A">
        <w:rPr>
          <w:rFonts w:ascii="Times New Arabic" w:hAnsi="Times New Arabic" w:cs="Times New Roman"/>
          <w:sz w:val="20"/>
          <w:szCs w:val="20"/>
        </w:rPr>
        <w:t>Online</w:t>
      </w:r>
      <w:r w:rsidRPr="002C3956">
        <w:rPr>
          <w:rFonts w:ascii="Times New Arabic" w:hAnsi="Times New Arabic" w:cs="Times New Roman"/>
          <w:sz w:val="20"/>
          <w:szCs w:val="20"/>
        </w:rPr>
        <w:t xml:space="preserve"> Gambling: A Systematic Review of Risk and Protective Factors in the Adult Population,” </w:t>
      </w:r>
      <w:r w:rsidRPr="00F62EAD">
        <w:rPr>
          <w:rFonts w:ascii="Times New Arabic" w:hAnsi="Times New Arabic" w:cs="Times New Roman"/>
          <w:i/>
          <w:iCs/>
          <w:sz w:val="20"/>
          <w:szCs w:val="20"/>
        </w:rPr>
        <w:t>Journal of Gambling Studies</w:t>
      </w:r>
      <w:r w:rsidRPr="002C3956">
        <w:rPr>
          <w:rFonts w:ascii="Times New Arabic" w:hAnsi="Times New Arabic" w:cs="Times New Roman"/>
          <w:sz w:val="20"/>
          <w:szCs w:val="20"/>
        </w:rPr>
        <w:t xml:space="preserve"> 40 (2024): 674</w:t>
      </w:r>
    </w:p>
  </w:footnote>
  <w:footnote w:id="26">
    <w:p w14:paraId="2912E281" w14:textId="2D1A8A2B" w:rsidR="0061001A" w:rsidRPr="00F62EAD" w:rsidRDefault="0061001A" w:rsidP="00534E22">
      <w:pPr>
        <w:pStyle w:val="FootnoteText"/>
        <w:spacing w:after="120"/>
        <w:ind w:firstLine="567"/>
        <w:jc w:val="both"/>
        <w:rPr>
          <w:rFonts w:ascii="Times New Arabic" w:hAnsi="Times New Arabic"/>
        </w:rPr>
      </w:pPr>
      <w:r w:rsidRPr="002C3956">
        <w:rPr>
          <w:rStyle w:val="FootnoteReference"/>
          <w:rFonts w:ascii="Times New Arabic" w:hAnsi="Times New Arabic"/>
        </w:rPr>
        <w:footnoteRef/>
      </w:r>
      <w:r w:rsidRPr="002C3956">
        <w:rPr>
          <w:rFonts w:ascii="Times New Arabic" w:hAnsi="Times New Arabic"/>
        </w:rPr>
        <w:t xml:space="preserve"> Ministry of Women’s Empowerment and Child Protection, </w:t>
      </w:r>
      <w:r w:rsidRPr="00F62EAD">
        <w:rPr>
          <w:rFonts w:ascii="Times New Arabic" w:hAnsi="Times New Arabic"/>
          <w:i/>
          <w:iCs/>
        </w:rPr>
        <w:t>Family Resilience Development</w:t>
      </w:r>
      <w:r w:rsidR="00F62EAD">
        <w:rPr>
          <w:rFonts w:ascii="Times New Arabic" w:hAnsi="Times New Arabic"/>
        </w:rPr>
        <w:t xml:space="preserve"> </w:t>
      </w:r>
      <w:r w:rsidRPr="002C3956">
        <w:rPr>
          <w:rFonts w:ascii="Times New Arabic" w:hAnsi="Times New Arabic"/>
        </w:rPr>
        <w:t>2016 (Jakarta: Ministry of Women’s Empowerment and Child Protection, 2016), 6.</w:t>
      </w:r>
    </w:p>
  </w:footnote>
  <w:footnote w:id="27">
    <w:p w14:paraId="4A7D3964" w14:textId="3802E423" w:rsidR="0061001A" w:rsidRPr="002C3956" w:rsidRDefault="0061001A" w:rsidP="00534E22">
      <w:pPr>
        <w:pStyle w:val="FootnoteText"/>
        <w:spacing w:after="120"/>
        <w:ind w:firstLine="567"/>
        <w:jc w:val="both"/>
        <w:rPr>
          <w:rFonts w:ascii="Times New Arabic" w:hAnsi="Times New Arabic"/>
          <w:lang w:val="en-ID"/>
        </w:rPr>
      </w:pPr>
      <w:r w:rsidRPr="002C3956">
        <w:rPr>
          <w:rStyle w:val="FootnoteReference"/>
          <w:rFonts w:ascii="Times New Arabic" w:hAnsi="Times New Arabic"/>
        </w:rPr>
        <w:footnoteRef/>
      </w:r>
      <w:r w:rsidRPr="002C3956">
        <w:rPr>
          <w:rFonts w:ascii="Times New Arabic" w:hAnsi="Times New Arabic"/>
        </w:rPr>
        <w:t xml:space="preserve"> Indonesia, </w:t>
      </w:r>
      <w:r w:rsidRPr="00F62EAD">
        <w:rPr>
          <w:rFonts w:ascii="Times New Arabic" w:hAnsi="Times New Arabic"/>
          <w:i/>
          <w:iCs/>
        </w:rPr>
        <w:t>Law No. 52 of 2009 on Population Development and Family Development</w:t>
      </w:r>
      <w:r w:rsidRPr="002C3956">
        <w:rPr>
          <w:rFonts w:ascii="Times New Arabic" w:hAnsi="Times New Arabic"/>
        </w:rPr>
        <w:t>, Law No. 52 of</w:t>
      </w:r>
      <w:r w:rsidR="00F62EAD">
        <w:rPr>
          <w:rFonts w:ascii="Times New Arabic" w:hAnsi="Times New Arabic"/>
        </w:rPr>
        <w:t xml:space="preserve"> </w:t>
      </w:r>
      <w:r w:rsidRPr="002C3956">
        <w:rPr>
          <w:rFonts w:ascii="Times New Arabic" w:hAnsi="Times New Arabic"/>
        </w:rPr>
        <w:t>2009, State Gazette No. 161 of 2009, Article 4(1).</w:t>
      </w:r>
    </w:p>
  </w:footnote>
  <w:footnote w:id="28">
    <w:p w14:paraId="53758D54" w14:textId="5BCE78D0" w:rsidR="00331BC1" w:rsidRPr="002C3956" w:rsidRDefault="00331BC1" w:rsidP="00534E22">
      <w:pPr>
        <w:pStyle w:val="FootnoteText"/>
        <w:spacing w:after="120"/>
        <w:ind w:firstLine="567"/>
        <w:jc w:val="both"/>
        <w:rPr>
          <w:rFonts w:ascii="Times New Arabic" w:hAnsi="Times New Arabic"/>
          <w:lang w:val="en-ID"/>
        </w:rPr>
      </w:pPr>
      <w:r w:rsidRPr="002C3956">
        <w:rPr>
          <w:rStyle w:val="FootnoteReference"/>
          <w:rFonts w:ascii="Times New Arabic" w:hAnsi="Times New Arabic"/>
        </w:rPr>
        <w:footnoteRef/>
      </w:r>
      <w:r w:rsidRPr="002C3956">
        <w:rPr>
          <w:rFonts w:ascii="Times New Arabic" w:hAnsi="Times New Arabic"/>
        </w:rPr>
        <w:t xml:space="preserve"> Fadillah Utami, Siti Fatimah, Adenan, and Darwis Mustakim, “</w:t>
      </w:r>
      <w:r w:rsidR="0024003A" w:rsidRPr="0024003A">
        <w:rPr>
          <w:rFonts w:ascii="Times New Arabic" w:hAnsi="Times New Arabic"/>
        </w:rPr>
        <w:t>Online</w:t>
      </w:r>
      <w:r w:rsidRPr="002C3956">
        <w:rPr>
          <w:rFonts w:ascii="Times New Arabic" w:hAnsi="Times New Arabic"/>
        </w:rPr>
        <w:t xml:space="preserve"> Gambling: A Trigger for Divorce in Modern Families,” </w:t>
      </w:r>
      <w:r w:rsidRPr="00B50F33">
        <w:rPr>
          <w:rFonts w:ascii="Times New Arabic" w:hAnsi="Times New Arabic"/>
          <w:i/>
          <w:iCs/>
        </w:rPr>
        <w:t>Journal of Community Service for a Prosperous Indonesia</w:t>
      </w:r>
      <w:r w:rsidRPr="002C3956">
        <w:rPr>
          <w:rFonts w:ascii="Times New Arabic" w:hAnsi="Times New Arabic"/>
        </w:rPr>
        <w:t xml:space="preserve"> 4, no. 1 (2025): 104.</w:t>
      </w:r>
    </w:p>
  </w:footnote>
  <w:footnote w:id="29">
    <w:p w14:paraId="36F3DF0C" w14:textId="23C7C965" w:rsidR="00331BC1" w:rsidRPr="002C3956" w:rsidRDefault="00331BC1" w:rsidP="00534E22">
      <w:pPr>
        <w:pStyle w:val="FootnoteText"/>
        <w:spacing w:after="120"/>
        <w:ind w:firstLine="567"/>
        <w:jc w:val="both"/>
        <w:rPr>
          <w:rFonts w:ascii="Times New Arabic" w:hAnsi="Times New Arabic"/>
          <w:lang w:val="en-ID"/>
        </w:rPr>
      </w:pPr>
      <w:r w:rsidRPr="002C3956">
        <w:rPr>
          <w:rStyle w:val="FootnoteReference"/>
          <w:rFonts w:ascii="Times New Arabic" w:hAnsi="Times New Arabic"/>
        </w:rPr>
        <w:footnoteRef/>
      </w:r>
      <w:r w:rsidRPr="002C3956">
        <w:rPr>
          <w:rFonts w:ascii="Times New Arabic" w:hAnsi="Times New Arabic"/>
        </w:rPr>
        <w:t xml:space="preserve"> Nasaruddin, Safrudin, Eka Fitriah Nurjadin, and Gufran, “The Impact of </w:t>
      </w:r>
      <w:r w:rsidR="0024003A" w:rsidRPr="0024003A">
        <w:rPr>
          <w:rFonts w:ascii="Times New Arabic" w:hAnsi="Times New Arabic"/>
        </w:rPr>
        <w:t>Online</w:t>
      </w:r>
      <w:r w:rsidRPr="002C3956">
        <w:rPr>
          <w:rFonts w:ascii="Times New Arabic" w:hAnsi="Times New Arabic"/>
        </w:rPr>
        <w:t xml:space="preserve"> Gambling on Modern Society (A Review of QS. </w:t>
      </w:r>
      <w:r w:rsidR="0021000D">
        <w:rPr>
          <w:rFonts w:ascii="Times New Arabic" w:hAnsi="Times New Arabic"/>
        </w:rPr>
        <w:t>a</w:t>
      </w:r>
      <w:r w:rsidRPr="002C3956">
        <w:rPr>
          <w:rFonts w:ascii="Times New Arabic" w:hAnsi="Times New Arabic"/>
        </w:rPr>
        <w:t xml:space="preserve">l-Ma’idah: 90–91),” </w:t>
      </w:r>
      <w:r w:rsidRPr="00B50F33">
        <w:rPr>
          <w:rFonts w:ascii="Times New Arabic" w:hAnsi="Times New Arabic"/>
          <w:i/>
          <w:iCs/>
        </w:rPr>
        <w:t>Tajdid: Journal of Islamic Thought and Humanity</w:t>
      </w:r>
      <w:r w:rsidRPr="002C3956">
        <w:rPr>
          <w:rFonts w:ascii="Times New Arabic" w:hAnsi="Times New Arabic"/>
        </w:rPr>
        <w:t xml:space="preserve"> 8, no. 2 (2024): 122.</w:t>
      </w:r>
    </w:p>
  </w:footnote>
  <w:footnote w:id="30">
    <w:p w14:paraId="5E20891E" w14:textId="0FA19D71" w:rsidR="00331BC1" w:rsidRPr="00B50F33" w:rsidRDefault="00331BC1" w:rsidP="00534E22">
      <w:pPr>
        <w:pStyle w:val="FootnoteText"/>
        <w:spacing w:after="120"/>
        <w:ind w:firstLine="567"/>
        <w:jc w:val="both"/>
        <w:rPr>
          <w:rFonts w:ascii="Times New Arabic" w:hAnsi="Times New Arabic"/>
          <w:lang w:val="en-ID"/>
        </w:rPr>
      </w:pPr>
      <w:r w:rsidRPr="00B50F33">
        <w:rPr>
          <w:rStyle w:val="FootnoteReference"/>
          <w:rFonts w:ascii="Times New Arabic" w:hAnsi="Times New Arabic"/>
        </w:rPr>
        <w:footnoteRef/>
      </w:r>
      <w:r w:rsidRPr="00B50F33">
        <w:rPr>
          <w:rFonts w:ascii="Times New Arabic" w:hAnsi="Times New Arabic"/>
        </w:rPr>
        <w:t xml:space="preserve"> </w:t>
      </w:r>
      <w:r w:rsidRPr="00B50F33">
        <w:rPr>
          <w:rFonts w:ascii="Times New Arabic" w:hAnsi="Times New Arabic"/>
          <w:i/>
          <w:iCs/>
        </w:rPr>
        <w:t>Ibid</w:t>
      </w:r>
    </w:p>
  </w:footnote>
  <w:footnote w:id="31">
    <w:p w14:paraId="3ABB2988" w14:textId="6946406B" w:rsidR="00331BC1" w:rsidRPr="00B50F33" w:rsidRDefault="00331BC1" w:rsidP="00534E22">
      <w:pPr>
        <w:pStyle w:val="FootnoteText"/>
        <w:spacing w:after="120"/>
        <w:ind w:firstLine="567"/>
        <w:jc w:val="both"/>
        <w:rPr>
          <w:rFonts w:ascii="Times New Arabic" w:hAnsi="Times New Arabic"/>
        </w:rPr>
      </w:pPr>
      <w:r w:rsidRPr="00B50F33">
        <w:rPr>
          <w:rStyle w:val="FootnoteReference"/>
          <w:rFonts w:ascii="Times New Arabic" w:hAnsi="Times New Arabic"/>
        </w:rPr>
        <w:footnoteRef/>
      </w:r>
      <w:r w:rsidRPr="00B50F33">
        <w:rPr>
          <w:rFonts w:ascii="Times New Arabic" w:hAnsi="Times New Arabic"/>
        </w:rPr>
        <w:t xml:space="preserve"> Poltak Mulyanto Nadeak and Adi Nur Rohman, “The Impact of </w:t>
      </w:r>
      <w:r w:rsidR="0024003A" w:rsidRPr="00B50F33">
        <w:rPr>
          <w:rFonts w:ascii="Times New Arabic" w:hAnsi="Times New Arabic"/>
        </w:rPr>
        <w:t>Online</w:t>
      </w:r>
      <w:r w:rsidRPr="00B50F33">
        <w:rPr>
          <w:rFonts w:ascii="Times New Arabic" w:hAnsi="Times New Arabic"/>
        </w:rPr>
        <w:t xml:space="preserve"> Gambling on</w:t>
      </w:r>
      <w:r w:rsidR="00B50F33">
        <w:rPr>
          <w:rFonts w:ascii="Times New Arabic" w:hAnsi="Times New Arabic"/>
        </w:rPr>
        <w:t xml:space="preserve"> </w:t>
      </w:r>
      <w:r w:rsidRPr="00B50F33">
        <w:rPr>
          <w:rFonts w:ascii="Times New Arabic" w:hAnsi="Times New Arabic"/>
        </w:rPr>
        <w:t xml:space="preserve">Marital Harmony in Households in Pontianak City,” </w:t>
      </w:r>
      <w:r w:rsidRPr="00B50F33">
        <w:rPr>
          <w:rFonts w:ascii="Times New Arabic" w:hAnsi="Times New Arabic"/>
          <w:i/>
          <w:iCs/>
        </w:rPr>
        <w:t>Journal Evidence of Law</w:t>
      </w:r>
      <w:r w:rsidRPr="00B50F33">
        <w:rPr>
          <w:rFonts w:ascii="Times New Arabic" w:hAnsi="Times New Arabic"/>
        </w:rPr>
        <w:t xml:space="preserve"> 4, no. 3 (2025): 1807.</w:t>
      </w:r>
    </w:p>
  </w:footnote>
  <w:footnote w:id="32">
    <w:p w14:paraId="38B17AAA" w14:textId="374EBB8E" w:rsidR="00041CB2" w:rsidRPr="00B50F33" w:rsidRDefault="00041CB2" w:rsidP="00534E22">
      <w:pPr>
        <w:pStyle w:val="FootnoteText"/>
        <w:spacing w:after="120"/>
        <w:ind w:firstLine="567"/>
        <w:jc w:val="both"/>
        <w:rPr>
          <w:rFonts w:ascii="Times New Arabic" w:hAnsi="Times New Arabic"/>
          <w:lang w:val="en-ID"/>
        </w:rPr>
      </w:pPr>
      <w:r w:rsidRPr="00B50F33">
        <w:rPr>
          <w:rStyle w:val="FootnoteReference"/>
          <w:rFonts w:ascii="Times New Arabic" w:hAnsi="Times New Arabic"/>
        </w:rPr>
        <w:footnoteRef/>
      </w:r>
      <w:r w:rsidRPr="00B50F33">
        <w:rPr>
          <w:rFonts w:ascii="Times New Arabic" w:hAnsi="Times New Arabic"/>
        </w:rPr>
        <w:t xml:space="preserve"> Belinda C. Goodwin et al., “A Typical Problem Gambler Affects Six Others,” </w:t>
      </w:r>
      <w:r w:rsidRPr="00B50F33">
        <w:rPr>
          <w:rFonts w:ascii="Times New Arabic" w:hAnsi="Times New Arabic"/>
          <w:i/>
          <w:iCs/>
        </w:rPr>
        <w:t>International Gambling Studies</w:t>
      </w:r>
      <w:r w:rsidRPr="00B50F33">
        <w:rPr>
          <w:rFonts w:ascii="Times New Arabic" w:hAnsi="Times New Arabic"/>
        </w:rPr>
        <w:t xml:space="preserve"> 17, no. 2 (2017): 276–277.</w:t>
      </w:r>
    </w:p>
  </w:footnote>
  <w:footnote w:id="33">
    <w:p w14:paraId="309E0DA4" w14:textId="46882A78" w:rsidR="00041CB2" w:rsidRPr="002C3956" w:rsidRDefault="00041CB2" w:rsidP="00534E22">
      <w:pPr>
        <w:spacing w:after="120" w:line="240" w:lineRule="auto"/>
        <w:jc w:val="both"/>
        <w:rPr>
          <w:rFonts w:ascii="Times New Arabic" w:hAnsi="Times New Arabic" w:cs="Times New Roman"/>
          <w:sz w:val="20"/>
          <w:szCs w:val="20"/>
        </w:rPr>
      </w:pPr>
      <w:r w:rsidRPr="002C3956">
        <w:rPr>
          <w:rStyle w:val="FootnoteReference"/>
          <w:rFonts w:ascii="Times New Arabic" w:hAnsi="Times New Arabic"/>
        </w:rPr>
        <w:footnoteRef/>
      </w:r>
      <w:r w:rsidRPr="002C3956">
        <w:rPr>
          <w:rFonts w:ascii="Times New Arabic" w:hAnsi="Times New Arabic"/>
        </w:rPr>
        <w:t xml:space="preserve"> </w:t>
      </w:r>
      <w:r w:rsidRPr="002C3956">
        <w:rPr>
          <w:rFonts w:ascii="Times New Arabic" w:hAnsi="Times New Arabic" w:cs="Times New Roman"/>
          <w:sz w:val="20"/>
          <w:szCs w:val="20"/>
        </w:rPr>
        <w:t xml:space="preserve">Nasaruddin, et al., “The Impact of </w:t>
      </w:r>
      <w:r w:rsidR="0024003A" w:rsidRPr="0024003A">
        <w:rPr>
          <w:rFonts w:ascii="Times New Arabic" w:hAnsi="Times New Arabic" w:cs="Times New Roman"/>
          <w:sz w:val="20"/>
          <w:szCs w:val="20"/>
        </w:rPr>
        <w:t>Online</w:t>
      </w:r>
      <w:r w:rsidRPr="002C3956">
        <w:rPr>
          <w:rFonts w:ascii="Times New Arabic" w:hAnsi="Times New Arabic" w:cs="Times New Roman"/>
          <w:sz w:val="20"/>
          <w:szCs w:val="20"/>
        </w:rPr>
        <w:t xml:space="preserve"> Gambling Among Modern Society,” 116.</w:t>
      </w:r>
    </w:p>
    <w:p w14:paraId="723C7C9B" w14:textId="342B6A22" w:rsidR="00041CB2" w:rsidRPr="002C3956" w:rsidRDefault="00041CB2" w:rsidP="00534E22">
      <w:pPr>
        <w:pStyle w:val="FootnoteText"/>
        <w:spacing w:after="120"/>
        <w:jc w:val="both"/>
        <w:rPr>
          <w:rFonts w:ascii="Times New Arabic" w:hAnsi="Times New Arabic"/>
          <w:lang w:val="en-ID"/>
        </w:rPr>
      </w:pPr>
    </w:p>
  </w:footnote>
  <w:footnote w:id="34">
    <w:p w14:paraId="27973590" w14:textId="3A7507B1" w:rsidR="00041CB2" w:rsidRPr="002C3956" w:rsidRDefault="00041CB2" w:rsidP="00534E22">
      <w:pPr>
        <w:pStyle w:val="FootnoteText"/>
        <w:spacing w:after="120"/>
        <w:ind w:firstLine="567"/>
        <w:jc w:val="both"/>
        <w:rPr>
          <w:rFonts w:ascii="Times New Arabic" w:hAnsi="Times New Arabic"/>
          <w:lang w:val="en-ID"/>
        </w:rPr>
      </w:pPr>
      <w:r w:rsidRPr="002C3956">
        <w:rPr>
          <w:rStyle w:val="FootnoteReference"/>
          <w:rFonts w:ascii="Times New Arabic" w:hAnsi="Times New Arabic"/>
        </w:rPr>
        <w:footnoteRef/>
      </w:r>
      <w:r w:rsidRPr="002C3956">
        <w:rPr>
          <w:rFonts w:ascii="Times New Arabic" w:hAnsi="Times New Arabic"/>
        </w:rPr>
        <w:t xml:space="preserve"> Imam As-Suyuthi, </w:t>
      </w:r>
      <w:r w:rsidRPr="00B50F33">
        <w:rPr>
          <w:rFonts w:ascii="Times New Arabic" w:hAnsi="Times New Arabic"/>
          <w:i/>
          <w:iCs/>
        </w:rPr>
        <w:t>Asbabun Nuzul</w:t>
      </w:r>
      <w:r w:rsidRPr="002C3956">
        <w:rPr>
          <w:rFonts w:ascii="Times New Arabic" w:hAnsi="Times New Arabic"/>
        </w:rPr>
        <w:t>, translated by Muh. Miftahul Huda, edited by Arif Hidayat and Ahmad Rifa'i (Solo: Insan Kamil, 2016), 243–245.</w:t>
      </w:r>
    </w:p>
  </w:footnote>
  <w:footnote w:id="35">
    <w:p w14:paraId="59F7E500" w14:textId="469D71B6" w:rsidR="00041CB2" w:rsidRPr="002C3956" w:rsidRDefault="00041CB2" w:rsidP="00534E22">
      <w:pPr>
        <w:pStyle w:val="FootnoteText"/>
        <w:spacing w:after="120"/>
        <w:ind w:firstLine="567"/>
        <w:jc w:val="both"/>
        <w:rPr>
          <w:rFonts w:ascii="Times New Arabic" w:hAnsi="Times New Arabic"/>
          <w:lang w:val="en-ID"/>
        </w:rPr>
      </w:pPr>
      <w:r w:rsidRPr="002C3956">
        <w:rPr>
          <w:rStyle w:val="FootnoteReference"/>
          <w:rFonts w:ascii="Times New Arabic" w:hAnsi="Times New Arabic"/>
        </w:rPr>
        <w:footnoteRef/>
      </w:r>
      <w:r w:rsidRPr="002C3956">
        <w:rPr>
          <w:rFonts w:ascii="Times New Arabic" w:hAnsi="Times New Arabic"/>
        </w:rPr>
        <w:t xml:space="preserve"> </w:t>
      </w:r>
      <w:r w:rsidR="000B474F" w:rsidRPr="002C3956">
        <w:rPr>
          <w:rFonts w:ascii="Times New Arabic" w:hAnsi="Times New Arabic"/>
        </w:rPr>
        <w:t xml:space="preserve">Nasaruddin, et al., “The Impact of </w:t>
      </w:r>
      <w:r w:rsidR="0024003A" w:rsidRPr="0024003A">
        <w:rPr>
          <w:rFonts w:ascii="Times New Arabic" w:hAnsi="Times New Arabic"/>
        </w:rPr>
        <w:t>Online</w:t>
      </w:r>
      <w:r w:rsidR="000B474F" w:rsidRPr="002C3956">
        <w:rPr>
          <w:rFonts w:ascii="Times New Arabic" w:hAnsi="Times New Arabic"/>
        </w:rPr>
        <w:t xml:space="preserve"> Gambling Among Modern Society,” 117.</w:t>
      </w:r>
    </w:p>
  </w:footnote>
  <w:footnote w:id="36">
    <w:p w14:paraId="5A858571" w14:textId="34D22DE3" w:rsidR="000B474F" w:rsidRPr="00B50F33" w:rsidRDefault="000B474F" w:rsidP="00534E22">
      <w:pPr>
        <w:pStyle w:val="FootnoteText"/>
        <w:spacing w:after="120"/>
        <w:ind w:firstLine="567"/>
        <w:jc w:val="both"/>
        <w:rPr>
          <w:rFonts w:ascii="Times New Arabic" w:hAnsi="Times New Arabic"/>
        </w:rPr>
      </w:pPr>
      <w:r w:rsidRPr="002C3956">
        <w:rPr>
          <w:rStyle w:val="FootnoteReference"/>
          <w:rFonts w:ascii="Times New Arabic" w:hAnsi="Times New Arabic"/>
        </w:rPr>
        <w:footnoteRef/>
      </w:r>
      <w:r w:rsidRPr="002C3956">
        <w:rPr>
          <w:rFonts w:ascii="Times New Arabic" w:hAnsi="Times New Arabic"/>
        </w:rPr>
        <w:t xml:space="preserve"> M. Quraish Shihab, </w:t>
      </w:r>
      <w:r w:rsidRPr="00B50F33">
        <w:rPr>
          <w:rFonts w:ascii="Times New Arabic" w:hAnsi="Times New Arabic"/>
          <w:i/>
          <w:iCs/>
        </w:rPr>
        <w:t>Tafsir Al-Mishbāh: The Message, Impression, and Harmony of the</w:t>
      </w:r>
      <w:r w:rsidR="00B50F33" w:rsidRPr="00B50F33">
        <w:rPr>
          <w:rFonts w:ascii="Times New Arabic" w:hAnsi="Times New Arabic"/>
          <w:i/>
          <w:iCs/>
        </w:rPr>
        <w:t xml:space="preserve"> </w:t>
      </w:r>
      <w:r w:rsidRPr="00B50F33">
        <w:rPr>
          <w:rFonts w:ascii="Times New Arabic" w:hAnsi="Times New Arabic"/>
          <w:i/>
          <w:iCs/>
        </w:rPr>
        <w:t>Qur’an</w:t>
      </w:r>
      <w:r w:rsidRPr="002C3956">
        <w:rPr>
          <w:rFonts w:ascii="Times New Arabic" w:hAnsi="Times New Arabic"/>
        </w:rPr>
        <w:t>, vol. 1 (Jakarta: Lentera Hati, 2000), 468–469.</w:t>
      </w:r>
    </w:p>
  </w:footnote>
  <w:footnote w:id="37">
    <w:p w14:paraId="1DABD7E4" w14:textId="3BBF6FD8" w:rsidR="000B474F" w:rsidRPr="002C3956" w:rsidRDefault="000B474F" w:rsidP="00534E22">
      <w:pPr>
        <w:spacing w:after="120" w:line="240" w:lineRule="auto"/>
        <w:ind w:firstLine="567"/>
        <w:jc w:val="both"/>
        <w:rPr>
          <w:rFonts w:ascii="Times New Arabic" w:hAnsi="Times New Arabic" w:cs="Times New Roman"/>
          <w:sz w:val="20"/>
          <w:szCs w:val="20"/>
        </w:rPr>
      </w:pPr>
      <w:r w:rsidRPr="002C3956">
        <w:rPr>
          <w:rStyle w:val="FootnoteReference"/>
          <w:rFonts w:ascii="Times New Arabic" w:hAnsi="Times New Arabic"/>
        </w:rPr>
        <w:footnoteRef/>
      </w:r>
      <w:r w:rsidRPr="002C3956">
        <w:rPr>
          <w:rFonts w:ascii="Times New Arabic" w:hAnsi="Times New Arabic"/>
        </w:rPr>
        <w:t xml:space="preserve"> </w:t>
      </w:r>
      <w:r w:rsidRPr="002C3956">
        <w:rPr>
          <w:rFonts w:ascii="Times New Arabic" w:hAnsi="Times New Arabic" w:cs="Times New Roman"/>
          <w:sz w:val="20"/>
          <w:szCs w:val="20"/>
        </w:rPr>
        <w:t xml:space="preserve">Imam Abi Husein Muslim ibn Hajjaj al-Qusyairy an-Naisabury, </w:t>
      </w:r>
      <w:r w:rsidRPr="00B50F33">
        <w:rPr>
          <w:rFonts w:ascii="Times New Arabic" w:hAnsi="Times New Arabic" w:cs="Times New Roman"/>
          <w:i/>
          <w:iCs/>
          <w:sz w:val="20"/>
          <w:szCs w:val="20"/>
        </w:rPr>
        <w:t>Translation of Sahih Muslim,</w:t>
      </w:r>
      <w:r w:rsidRPr="002C3956">
        <w:rPr>
          <w:rFonts w:ascii="Times New Arabic" w:hAnsi="Times New Arabic" w:cs="Times New Roman"/>
          <w:sz w:val="20"/>
          <w:szCs w:val="20"/>
        </w:rPr>
        <w:t xml:space="preserve"> Volume 4, trans. KH. Adib Bisri Musthofa (Kuala Lumpur: Victory Agency, 1994), 113.</w:t>
      </w:r>
    </w:p>
  </w:footnote>
  <w:footnote w:id="38">
    <w:p w14:paraId="61B42ABC" w14:textId="270F0C2A" w:rsidR="000B474F" w:rsidRPr="002C3956" w:rsidRDefault="000B474F" w:rsidP="00534E22">
      <w:pPr>
        <w:pStyle w:val="FootnoteText"/>
        <w:spacing w:after="120"/>
        <w:ind w:firstLine="567"/>
        <w:jc w:val="both"/>
        <w:rPr>
          <w:rFonts w:ascii="Times New Arabic" w:hAnsi="Times New Arabic"/>
          <w:lang w:val="en-ID"/>
        </w:rPr>
      </w:pPr>
      <w:r w:rsidRPr="002C3956">
        <w:rPr>
          <w:rStyle w:val="FootnoteReference"/>
          <w:rFonts w:ascii="Times New Arabic" w:hAnsi="Times New Arabic"/>
        </w:rPr>
        <w:footnoteRef/>
      </w:r>
      <w:r w:rsidRPr="002C3956">
        <w:rPr>
          <w:rFonts w:ascii="Times New Arabic" w:hAnsi="Times New Arabic"/>
        </w:rPr>
        <w:t xml:space="preserve"> Shalah Abdul Fattah al-Khalidi, </w:t>
      </w:r>
      <w:r w:rsidRPr="00B50F33">
        <w:rPr>
          <w:rFonts w:ascii="Times New Arabic" w:hAnsi="Times New Arabic"/>
          <w:i/>
          <w:iCs/>
        </w:rPr>
        <w:t>Tafsir Ibn Kathir: Authentic, Systematic, Comprehensive</w:t>
      </w:r>
      <w:r w:rsidRPr="002C3956">
        <w:rPr>
          <w:rFonts w:ascii="Times New Arabic" w:hAnsi="Times New Arabic"/>
        </w:rPr>
        <w:t>, trans. Engkos Kosasih et al., vol. 2 (Jakarta: Maghfirah Pustaka, 2017), 657–662.</w:t>
      </w:r>
    </w:p>
  </w:footnote>
  <w:footnote w:id="39">
    <w:p w14:paraId="3219054A" w14:textId="7944A583" w:rsidR="000B474F" w:rsidRPr="00534E22" w:rsidRDefault="000B474F" w:rsidP="00534E22">
      <w:pPr>
        <w:pStyle w:val="FootnoteText"/>
        <w:spacing w:after="120"/>
        <w:ind w:firstLine="567"/>
        <w:jc w:val="both"/>
        <w:rPr>
          <w:rFonts w:ascii="Times New Arabic" w:hAnsi="Times New Arabic"/>
          <w:lang w:val="pt-BR"/>
        </w:rPr>
      </w:pPr>
      <w:r w:rsidRPr="002C3956">
        <w:rPr>
          <w:rStyle w:val="FootnoteReference"/>
          <w:rFonts w:ascii="Times New Arabic" w:hAnsi="Times New Arabic"/>
        </w:rPr>
        <w:footnoteRef/>
      </w:r>
      <w:r w:rsidRPr="002C3956">
        <w:rPr>
          <w:rFonts w:ascii="Times New Arabic" w:hAnsi="Times New Arabic"/>
        </w:rPr>
        <w:t xml:space="preserve"> Sayyid Qutb, </w:t>
      </w:r>
      <w:r w:rsidRPr="00B50F33">
        <w:rPr>
          <w:rFonts w:ascii="Times New Arabic" w:hAnsi="Times New Arabic"/>
          <w:i/>
          <w:iCs/>
        </w:rPr>
        <w:t>Tafsir fi Zhilalil-Qur’an</w:t>
      </w:r>
      <w:r w:rsidRPr="002C3956">
        <w:rPr>
          <w:rFonts w:ascii="Times New Arabic" w:hAnsi="Times New Arabic"/>
        </w:rPr>
        <w:t xml:space="preserve">, trans. </w:t>
      </w:r>
      <w:r w:rsidRPr="00534E22">
        <w:rPr>
          <w:rFonts w:ascii="Times New Arabic" w:hAnsi="Times New Arabic"/>
          <w:lang w:val="pt-BR"/>
        </w:rPr>
        <w:t>As’ad Yasin, vol. 3 (Jakarta: Gema Insani Press, 2002), 322–324.</w:t>
      </w:r>
    </w:p>
  </w:footnote>
  <w:footnote w:id="40">
    <w:p w14:paraId="045B126F" w14:textId="5F20E78B" w:rsidR="000B474F" w:rsidRPr="00534E22" w:rsidRDefault="000B474F" w:rsidP="00534E22">
      <w:pPr>
        <w:pStyle w:val="FootnoteText"/>
        <w:spacing w:after="120"/>
        <w:ind w:firstLine="567"/>
        <w:jc w:val="both"/>
        <w:rPr>
          <w:rFonts w:ascii="Times New Arabic" w:hAnsi="Times New Arabic"/>
          <w:lang w:val="pt-BR"/>
        </w:rPr>
      </w:pPr>
      <w:r w:rsidRPr="002C3956">
        <w:rPr>
          <w:rStyle w:val="FootnoteReference"/>
          <w:rFonts w:ascii="Times New Arabic" w:hAnsi="Times New Arabic"/>
        </w:rPr>
        <w:footnoteRef/>
      </w:r>
      <w:r w:rsidRPr="00534E22">
        <w:rPr>
          <w:rFonts w:ascii="Times New Arabic" w:hAnsi="Times New Arabic"/>
          <w:lang w:val="pt-BR"/>
        </w:rPr>
        <w:t xml:space="preserve"> Wahbah az-Zuhaili, </w:t>
      </w:r>
      <w:r w:rsidRPr="00534E22">
        <w:rPr>
          <w:rFonts w:ascii="Times New Arabic" w:hAnsi="Times New Arabic"/>
          <w:i/>
          <w:iCs/>
          <w:lang w:val="pt-BR"/>
        </w:rPr>
        <w:t>Tafsir Al-Munir: Aqidah, Shari’ah, Manhaj</w:t>
      </w:r>
      <w:r w:rsidRPr="00534E22">
        <w:rPr>
          <w:rFonts w:ascii="Times New Arabic" w:hAnsi="Times New Arabic"/>
          <w:lang w:val="pt-BR"/>
        </w:rPr>
        <w:t>, translated by Abdul Hayyie al-Kattani et al., Vol. 4 (Jakarta: Gema Insani, 2013), 56–63.</w:t>
      </w:r>
    </w:p>
  </w:footnote>
  <w:footnote w:id="41">
    <w:p w14:paraId="753B6C37" w14:textId="3B363F68" w:rsidR="000B474F" w:rsidRPr="00B50F33" w:rsidRDefault="000B474F" w:rsidP="00534E22">
      <w:pPr>
        <w:pStyle w:val="FootnoteText"/>
        <w:spacing w:after="120"/>
        <w:ind w:firstLine="567"/>
        <w:jc w:val="both"/>
        <w:rPr>
          <w:rFonts w:ascii="Times New Arabic" w:hAnsi="Times New Arabic"/>
        </w:rPr>
      </w:pPr>
      <w:r w:rsidRPr="002C3956">
        <w:rPr>
          <w:rStyle w:val="FootnoteReference"/>
          <w:rFonts w:ascii="Times New Arabic" w:hAnsi="Times New Arabic"/>
        </w:rPr>
        <w:footnoteRef/>
      </w:r>
      <w:r w:rsidRPr="002C3956">
        <w:rPr>
          <w:rFonts w:ascii="Times New Arabic" w:hAnsi="Times New Arabic"/>
        </w:rPr>
        <w:t xml:space="preserve"> M. Quraish Shihab, </w:t>
      </w:r>
      <w:r w:rsidRPr="00B50F33">
        <w:rPr>
          <w:rFonts w:ascii="Times New Arabic" w:hAnsi="Times New Arabic"/>
          <w:i/>
          <w:iCs/>
        </w:rPr>
        <w:t>Tafsir Al-Mishbah: The Message, Impression, and Harmony of the</w:t>
      </w:r>
      <w:r w:rsidR="00B50F33" w:rsidRPr="00B50F33">
        <w:rPr>
          <w:rFonts w:ascii="Times New Arabic" w:hAnsi="Times New Arabic"/>
          <w:i/>
          <w:iCs/>
        </w:rPr>
        <w:t xml:space="preserve"> </w:t>
      </w:r>
      <w:r w:rsidRPr="00B50F33">
        <w:rPr>
          <w:rFonts w:ascii="Times New Arabic" w:hAnsi="Times New Arabic"/>
          <w:i/>
          <w:iCs/>
        </w:rPr>
        <w:t>Qur’an</w:t>
      </w:r>
      <w:r w:rsidRPr="002C3956">
        <w:rPr>
          <w:rFonts w:ascii="Times New Arabic" w:hAnsi="Times New Arabic"/>
        </w:rPr>
        <w:t xml:space="preserve"> (Jakarta: Lentera Hati, 2002), vol. 3, 235–241.</w:t>
      </w:r>
    </w:p>
  </w:footnote>
  <w:footnote w:id="42">
    <w:p w14:paraId="6AA25DF5" w14:textId="1D958003" w:rsidR="000B474F" w:rsidRPr="002C3956" w:rsidRDefault="000B474F" w:rsidP="00534E22">
      <w:pPr>
        <w:pStyle w:val="FootnoteText"/>
        <w:spacing w:after="120"/>
        <w:ind w:firstLine="567"/>
        <w:jc w:val="both"/>
        <w:rPr>
          <w:rFonts w:ascii="Times New Arabic" w:hAnsi="Times New Arabic"/>
        </w:rPr>
      </w:pPr>
      <w:r w:rsidRPr="002C3956">
        <w:rPr>
          <w:rStyle w:val="FootnoteReference"/>
          <w:rFonts w:ascii="Times New Arabic" w:hAnsi="Times New Arabic"/>
        </w:rPr>
        <w:footnoteRef/>
      </w:r>
      <w:r w:rsidRPr="002C3956">
        <w:rPr>
          <w:rFonts w:ascii="Times New Arabic" w:hAnsi="Times New Arabic"/>
        </w:rPr>
        <w:t xml:space="preserve"> The Qur’an Text Authentication Committee, </w:t>
      </w:r>
      <w:r w:rsidRPr="00B50F33">
        <w:rPr>
          <w:rFonts w:ascii="Times New Arabic" w:hAnsi="Times New Arabic"/>
          <w:i/>
          <w:iCs/>
        </w:rPr>
        <w:t>The Qur’an and Contemporary Issues II,</w:t>
      </w:r>
      <w:r w:rsidRPr="002C3956">
        <w:rPr>
          <w:rFonts w:ascii="Times New Arabic" w:hAnsi="Times New Arabic"/>
        </w:rPr>
        <w:t xml:space="preserve"> ed.</w:t>
      </w:r>
      <w:r w:rsidR="00B50F33">
        <w:rPr>
          <w:rFonts w:ascii="Times New Arabic" w:hAnsi="Times New Arabic"/>
        </w:rPr>
        <w:t xml:space="preserve"> </w:t>
      </w:r>
      <w:r w:rsidRPr="002C3956">
        <w:rPr>
          <w:rFonts w:ascii="Times New Arabic" w:hAnsi="Times New Arabic"/>
        </w:rPr>
        <w:t>Muchlis M. Hanafi (Jakarta: The Qur’an Text Authentica</w:t>
      </w:r>
      <w:r w:rsidR="00D93C26" w:rsidRPr="002C3956">
        <w:rPr>
          <w:rFonts w:ascii="Times New Arabic" w:hAnsi="Times New Arabic"/>
        </w:rPr>
        <w:t>tion Committee, 2012), 307–311.</w:t>
      </w:r>
    </w:p>
  </w:footnote>
  <w:footnote w:id="43">
    <w:p w14:paraId="3AA2AA65" w14:textId="317519DE" w:rsidR="00D93C26" w:rsidRPr="002C3956" w:rsidRDefault="00D93C26" w:rsidP="00534E22">
      <w:pPr>
        <w:pStyle w:val="FootnoteText"/>
        <w:spacing w:after="120"/>
        <w:ind w:firstLine="567"/>
        <w:jc w:val="both"/>
        <w:rPr>
          <w:rFonts w:ascii="Times New Arabic" w:hAnsi="Times New Arabic"/>
          <w:lang w:val="en-ID"/>
        </w:rPr>
      </w:pPr>
      <w:r w:rsidRPr="002C3956">
        <w:rPr>
          <w:rStyle w:val="FootnoteReference"/>
          <w:rFonts w:ascii="Times New Arabic" w:hAnsi="Times New Arabic"/>
        </w:rPr>
        <w:footnoteRef/>
      </w:r>
      <w:r w:rsidRPr="002C3956">
        <w:rPr>
          <w:rFonts w:ascii="Times New Arabic" w:hAnsi="Times New Arabic"/>
        </w:rPr>
        <w:t xml:space="preserve"> H. Amirulloh Syarbini, </w:t>
      </w:r>
      <w:r w:rsidRPr="00B50F33">
        <w:rPr>
          <w:rFonts w:ascii="Times New Arabic" w:hAnsi="Times New Arabic"/>
          <w:i/>
          <w:iCs/>
        </w:rPr>
        <w:t>Pearls of the Qur'an: The Qur'an's Message for Addressing the Problems of the Ummah and the Nation</w:t>
      </w:r>
      <w:r w:rsidRPr="002C3956">
        <w:rPr>
          <w:rFonts w:ascii="Times New Arabic" w:hAnsi="Times New Arabic"/>
        </w:rPr>
        <w:t xml:space="preserve"> (Jakarta: Asa Prima Pustaka, 2012), 7.</w:t>
      </w:r>
    </w:p>
  </w:footnote>
  <w:footnote w:id="44">
    <w:p w14:paraId="16EA951E" w14:textId="48DE2680" w:rsidR="00D93C26" w:rsidRPr="002C3956" w:rsidRDefault="00D93C26" w:rsidP="00534E22">
      <w:pPr>
        <w:pStyle w:val="FootnoteText"/>
        <w:spacing w:after="120"/>
        <w:ind w:firstLine="567"/>
        <w:jc w:val="both"/>
        <w:rPr>
          <w:rFonts w:ascii="Times New Arabic" w:hAnsi="Times New Arabic"/>
          <w:lang w:val="en-ID"/>
        </w:rPr>
      </w:pPr>
      <w:r w:rsidRPr="002C3956">
        <w:rPr>
          <w:rStyle w:val="FootnoteReference"/>
          <w:rFonts w:ascii="Times New Arabic" w:hAnsi="Times New Arabic"/>
        </w:rPr>
        <w:footnoteRef/>
      </w:r>
      <w:r w:rsidRPr="002C3956">
        <w:rPr>
          <w:rFonts w:ascii="Times New Arabic" w:hAnsi="Times New Arabic"/>
        </w:rPr>
        <w:t xml:space="preserve"> </w:t>
      </w:r>
      <w:r w:rsidR="00D62C1B" w:rsidRPr="002C3956">
        <w:rPr>
          <w:rFonts w:ascii="Times New Arabic" w:hAnsi="Times New Arabic"/>
        </w:rPr>
        <w:t xml:space="preserve">Hafid Rustiawan and Hasbullah, “The Context of Qur’anic Verses in Education: An Analysis of the Exegesis of Surah </w:t>
      </w:r>
      <w:r w:rsidR="00C3398F">
        <w:rPr>
          <w:rFonts w:ascii="Times New Arabic" w:hAnsi="Times New Arabic"/>
        </w:rPr>
        <w:t>a</w:t>
      </w:r>
      <w:r w:rsidR="00D62C1B" w:rsidRPr="002C3956">
        <w:rPr>
          <w:rFonts w:ascii="Times New Arabic" w:hAnsi="Times New Arabic"/>
        </w:rPr>
        <w:t xml:space="preserve">t-Tahrim, Verse 6,” </w:t>
      </w:r>
      <w:r w:rsidR="00D62C1B" w:rsidRPr="00B50F33">
        <w:rPr>
          <w:rFonts w:ascii="Times New Arabic" w:hAnsi="Times New Arabic"/>
          <w:i/>
          <w:iCs/>
        </w:rPr>
        <w:t xml:space="preserve">Geneologi PAI: Journal of Islamic Education </w:t>
      </w:r>
      <w:r w:rsidR="00D62C1B" w:rsidRPr="002C3956">
        <w:rPr>
          <w:rFonts w:ascii="Times New Arabic" w:hAnsi="Times New Arabic"/>
        </w:rPr>
        <w:t>10, no. 1 (2023): 3-4</w:t>
      </w:r>
    </w:p>
  </w:footnote>
  <w:footnote w:id="45">
    <w:p w14:paraId="3BE38612" w14:textId="6BD3B461" w:rsidR="00D93C26" w:rsidRPr="002C3956" w:rsidRDefault="00D93C26" w:rsidP="00534E22">
      <w:pPr>
        <w:pStyle w:val="FootnoteText"/>
        <w:spacing w:after="120"/>
        <w:ind w:firstLine="567"/>
        <w:jc w:val="both"/>
        <w:rPr>
          <w:rFonts w:ascii="Times New Arabic" w:hAnsi="Times New Arabic"/>
          <w:lang w:val="en-ID"/>
        </w:rPr>
      </w:pPr>
      <w:r w:rsidRPr="002C3956">
        <w:rPr>
          <w:rStyle w:val="FootnoteReference"/>
          <w:rFonts w:ascii="Times New Arabic" w:hAnsi="Times New Arabic"/>
        </w:rPr>
        <w:footnoteRef/>
      </w:r>
      <w:r w:rsidRPr="002C3956">
        <w:rPr>
          <w:rFonts w:ascii="Times New Arabic" w:hAnsi="Times New Arabic"/>
        </w:rPr>
        <w:t xml:space="preserve"> </w:t>
      </w:r>
      <w:r w:rsidR="00D62C1B" w:rsidRPr="002C3956">
        <w:rPr>
          <w:rFonts w:ascii="Times New Arabic" w:hAnsi="Times New Arabic"/>
        </w:rPr>
        <w:t xml:space="preserve">Anisa Rahmawati, Nur Azizah, Muhammad Ihsan, and Muhammad Azmiannur, “The Social Impact of </w:t>
      </w:r>
      <w:r w:rsidR="0024003A" w:rsidRPr="0024003A">
        <w:rPr>
          <w:rFonts w:ascii="Times New Arabic" w:hAnsi="Times New Arabic"/>
        </w:rPr>
        <w:t>Online</w:t>
      </w:r>
      <w:r w:rsidR="00D62C1B" w:rsidRPr="002C3956">
        <w:rPr>
          <w:rFonts w:ascii="Times New Arabic" w:hAnsi="Times New Arabic"/>
        </w:rPr>
        <w:t xml:space="preserve"> Gambling: Disrupting Family Life and Harmony,” </w:t>
      </w:r>
      <w:r w:rsidR="00D62C1B" w:rsidRPr="00B50F33">
        <w:rPr>
          <w:rFonts w:ascii="Times New Arabic" w:hAnsi="Times New Arabic"/>
          <w:i/>
          <w:iCs/>
        </w:rPr>
        <w:t>Sujud: Journal of Religion, Society, and Culture</w:t>
      </w:r>
      <w:r w:rsidR="00D62C1B" w:rsidRPr="002C3956">
        <w:rPr>
          <w:rFonts w:ascii="Times New Arabic" w:hAnsi="Times New Arabic"/>
        </w:rPr>
        <w:t xml:space="preserve"> 1, no. 3 (2025): 413–416</w:t>
      </w:r>
    </w:p>
  </w:footnote>
  <w:footnote w:id="46">
    <w:p w14:paraId="2998BB4B" w14:textId="1DAA1444" w:rsidR="00D93C26" w:rsidRPr="002C3956" w:rsidRDefault="00D93C26" w:rsidP="00534E22">
      <w:pPr>
        <w:pStyle w:val="FootnoteText"/>
        <w:spacing w:after="120"/>
        <w:ind w:firstLine="567"/>
        <w:jc w:val="both"/>
        <w:rPr>
          <w:rFonts w:ascii="Times New Arabic" w:hAnsi="Times New Arabic"/>
          <w:lang w:val="en-ID"/>
        </w:rPr>
      </w:pPr>
      <w:r w:rsidRPr="002C3956">
        <w:rPr>
          <w:rStyle w:val="FootnoteReference"/>
          <w:rFonts w:ascii="Times New Arabic" w:hAnsi="Times New Arabic"/>
        </w:rPr>
        <w:footnoteRef/>
      </w:r>
      <w:r w:rsidR="00D62C1B" w:rsidRPr="002C3956">
        <w:rPr>
          <w:rFonts w:ascii="Times New Arabic" w:hAnsi="Times New Arabic"/>
          <w:lang w:val="en-ID"/>
        </w:rPr>
        <w:t xml:space="preserve"> Filipa Calado, Mike Vernon, Filip Nuyens, Joana Alexandre, and Mark D. Griffiths, “How Does Religiosity Influence Gambling? A Cross-Cultural Study Between Portuguese and English Youth,” </w:t>
      </w:r>
      <w:r w:rsidR="00D62C1B" w:rsidRPr="00B50F33">
        <w:rPr>
          <w:rFonts w:ascii="Times New Arabic" w:hAnsi="Times New Arabic"/>
          <w:i/>
          <w:iCs/>
          <w:lang w:val="en-ID"/>
        </w:rPr>
        <w:t>Journal of Gambling Studies</w:t>
      </w:r>
      <w:r w:rsidR="00D62C1B" w:rsidRPr="002C3956">
        <w:rPr>
          <w:rFonts w:ascii="Times New Arabic" w:hAnsi="Times New Arabic"/>
          <w:lang w:val="en-ID"/>
        </w:rPr>
        <w:t xml:space="preserve"> 40 (2024): 1015</w:t>
      </w:r>
    </w:p>
  </w:footnote>
  <w:footnote w:id="47">
    <w:p w14:paraId="6984ED62" w14:textId="515E1F5E" w:rsidR="004923A8" w:rsidRPr="002C3956" w:rsidRDefault="004923A8" w:rsidP="00534E22">
      <w:pPr>
        <w:pStyle w:val="FootnoteText"/>
        <w:spacing w:after="120"/>
        <w:ind w:firstLine="567"/>
        <w:jc w:val="both"/>
        <w:rPr>
          <w:rFonts w:ascii="Times New Arabic" w:hAnsi="Times New Arabic"/>
          <w:lang w:val="en-ID"/>
        </w:rPr>
      </w:pPr>
      <w:r w:rsidRPr="002C3956">
        <w:rPr>
          <w:rStyle w:val="FootnoteReference"/>
          <w:rFonts w:ascii="Times New Arabic" w:hAnsi="Times New Arabic"/>
        </w:rPr>
        <w:footnoteRef/>
      </w:r>
      <w:r w:rsidRPr="002C3956">
        <w:rPr>
          <w:rFonts w:ascii="Times New Arabic" w:hAnsi="Times New Arabic"/>
        </w:rPr>
        <w:t xml:space="preserve"> Hanafi et al., “The Urgency of Sharia Education,” 557.</w:t>
      </w:r>
    </w:p>
  </w:footnote>
  <w:footnote w:id="48">
    <w:p w14:paraId="220C1DFE" w14:textId="486BFE02" w:rsidR="004923A8" w:rsidRPr="002C3956" w:rsidRDefault="004923A8" w:rsidP="00534E22">
      <w:pPr>
        <w:pStyle w:val="FootnoteText"/>
        <w:spacing w:after="120"/>
        <w:ind w:firstLine="567"/>
        <w:jc w:val="both"/>
        <w:rPr>
          <w:rFonts w:ascii="Times New Arabic" w:hAnsi="Times New Arabic"/>
          <w:lang w:val="en-ID"/>
        </w:rPr>
      </w:pPr>
      <w:r w:rsidRPr="002C3956">
        <w:rPr>
          <w:rStyle w:val="FootnoteReference"/>
          <w:rFonts w:ascii="Times New Arabic" w:hAnsi="Times New Arabic"/>
        </w:rPr>
        <w:footnoteRef/>
      </w:r>
      <w:r w:rsidRPr="002C3956">
        <w:rPr>
          <w:rFonts w:ascii="Times New Arabic" w:hAnsi="Times New Arabic"/>
        </w:rPr>
        <w:t xml:space="preserve"> Gilang Ramadhan, Yunanda Amelia Salsalina Ginting, Inayah Sulistiani, Renita Ayu Anggraini, Eka Vindi Astriana Nurb Qalifah, and Aditia Muhammad Noor, “Moral Degradation: The Phenomenon of </w:t>
      </w:r>
      <w:r w:rsidR="0024003A" w:rsidRPr="0024003A">
        <w:rPr>
          <w:rFonts w:ascii="Times New Arabic" w:hAnsi="Times New Arabic"/>
        </w:rPr>
        <w:t>Online</w:t>
      </w:r>
      <w:r w:rsidRPr="002C3956">
        <w:rPr>
          <w:rFonts w:ascii="Times New Arabic" w:hAnsi="Times New Arabic"/>
        </w:rPr>
        <w:t xml:space="preserve"> Gambling in Indonesia,” </w:t>
      </w:r>
      <w:r w:rsidRPr="005D6571">
        <w:rPr>
          <w:rFonts w:ascii="Times New Arabic" w:hAnsi="Times New Arabic"/>
          <w:i/>
          <w:iCs/>
        </w:rPr>
        <w:t>AL YASINI: Journal of Islamic Studies, Social Sciences, Law, and Education</w:t>
      </w:r>
      <w:r w:rsidRPr="002C3956">
        <w:rPr>
          <w:rFonts w:ascii="Times New Arabic" w:hAnsi="Times New Arabic"/>
        </w:rPr>
        <w:t xml:space="preserve"> 8, no. 1 (2023): 42–43.</w:t>
      </w:r>
    </w:p>
  </w:footnote>
  <w:footnote w:id="49">
    <w:p w14:paraId="4B890C3B" w14:textId="1D8EFDC5" w:rsidR="004923A8" w:rsidRPr="00DA5429" w:rsidRDefault="004923A8" w:rsidP="00534E22">
      <w:pPr>
        <w:pStyle w:val="FootnoteText"/>
        <w:spacing w:after="120"/>
        <w:ind w:firstLine="567"/>
        <w:jc w:val="both"/>
        <w:rPr>
          <w:rFonts w:ascii="Times New Arabic" w:hAnsi="Times New Arabic"/>
        </w:rPr>
      </w:pPr>
      <w:r w:rsidRPr="002C3956">
        <w:rPr>
          <w:rStyle w:val="FootnoteReference"/>
          <w:rFonts w:ascii="Times New Arabic" w:hAnsi="Times New Arabic"/>
        </w:rPr>
        <w:footnoteRef/>
      </w:r>
      <w:r w:rsidRPr="002C3956">
        <w:rPr>
          <w:rFonts w:ascii="Times New Arabic" w:hAnsi="Times New Arabic"/>
        </w:rPr>
        <w:t xml:space="preserve"> Subagyo and Astuti, “Factors Influencing College Students to Engage in </w:t>
      </w:r>
      <w:r w:rsidR="0024003A" w:rsidRPr="0024003A">
        <w:rPr>
          <w:rFonts w:ascii="Times New Arabic" w:hAnsi="Times New Arabic"/>
        </w:rPr>
        <w:t>Online</w:t>
      </w:r>
      <w:r w:rsidRPr="002C3956">
        <w:rPr>
          <w:rFonts w:ascii="Times New Arabic" w:hAnsi="Times New Arabic"/>
        </w:rPr>
        <w:t xml:space="preserve"> Gambling,”</w:t>
      </w:r>
      <w:r w:rsidR="00DA5429">
        <w:rPr>
          <w:rFonts w:ascii="Times New Arabic" w:hAnsi="Times New Arabic"/>
        </w:rPr>
        <w:t xml:space="preserve"> </w:t>
      </w:r>
      <w:r w:rsidRPr="002C3956">
        <w:rPr>
          <w:rFonts w:ascii="Times New Arabic" w:hAnsi="Times New Arabic"/>
        </w:rPr>
        <w:t>182.</w:t>
      </w:r>
    </w:p>
  </w:footnote>
  <w:footnote w:id="50">
    <w:p w14:paraId="6BCD2276" w14:textId="131D60CA" w:rsidR="004923A8" w:rsidRPr="002C3956" w:rsidRDefault="004923A8" w:rsidP="00534E22">
      <w:pPr>
        <w:pStyle w:val="FootnoteText"/>
        <w:spacing w:after="120"/>
        <w:ind w:firstLine="567"/>
        <w:jc w:val="both"/>
        <w:rPr>
          <w:rFonts w:ascii="Times New Arabic" w:hAnsi="Times New Arabic"/>
          <w:lang w:val="en-ID"/>
        </w:rPr>
      </w:pPr>
      <w:r w:rsidRPr="002C3956">
        <w:rPr>
          <w:rStyle w:val="FootnoteReference"/>
          <w:rFonts w:ascii="Times New Arabic" w:hAnsi="Times New Arabic"/>
        </w:rPr>
        <w:footnoteRef/>
      </w:r>
      <w:r w:rsidRPr="002C3956">
        <w:rPr>
          <w:rFonts w:ascii="Times New Arabic" w:hAnsi="Times New Arabic"/>
        </w:rPr>
        <w:t xml:space="preserve"> Ramadhan et al., “Moral Degradation,” 48.</w:t>
      </w:r>
    </w:p>
  </w:footnote>
  <w:footnote w:id="51">
    <w:p w14:paraId="469A4710" w14:textId="74EC3A56" w:rsidR="004923A8" w:rsidRPr="002C3956" w:rsidRDefault="004923A8" w:rsidP="00534E22">
      <w:pPr>
        <w:pStyle w:val="FootnoteText"/>
        <w:spacing w:after="120"/>
        <w:ind w:firstLine="567"/>
        <w:jc w:val="both"/>
        <w:rPr>
          <w:rFonts w:ascii="Times New Arabic" w:hAnsi="Times New Arabic"/>
          <w:lang w:val="en-ID"/>
        </w:rPr>
      </w:pPr>
      <w:r w:rsidRPr="002C3956">
        <w:rPr>
          <w:rStyle w:val="FootnoteReference"/>
          <w:rFonts w:ascii="Times New Arabic" w:hAnsi="Times New Arabic"/>
        </w:rPr>
        <w:footnoteRef/>
      </w:r>
      <w:r w:rsidRPr="002C3956">
        <w:rPr>
          <w:rFonts w:ascii="Times New Arabic" w:hAnsi="Times New Arabic"/>
        </w:rPr>
        <w:t xml:space="preserve"> Nurul Melani Haifa, Dio Kurniawan, and Syafwan Kholik, “Interpretation of Verses Regarding the Influence of Family, Academic, and Social Environments on Education,” At-Tarbiyah: </w:t>
      </w:r>
      <w:r w:rsidRPr="00DA5429">
        <w:rPr>
          <w:rFonts w:ascii="Times New Arabic" w:hAnsi="Times New Arabic"/>
          <w:i/>
          <w:iCs/>
        </w:rPr>
        <w:t>Journal of Islamic Religious Education Research</w:t>
      </w:r>
      <w:r w:rsidRPr="002C3956">
        <w:rPr>
          <w:rFonts w:ascii="Times New Arabic" w:hAnsi="Times New Arabic"/>
        </w:rPr>
        <w:t xml:space="preserve"> 2, no. 1 (2024): 536.</w:t>
      </w:r>
    </w:p>
  </w:footnote>
  <w:footnote w:id="52">
    <w:p w14:paraId="00275282" w14:textId="2F4E4C21" w:rsidR="004923A8" w:rsidRPr="002C3956" w:rsidRDefault="004923A8" w:rsidP="00534E22">
      <w:pPr>
        <w:pStyle w:val="FootnoteText"/>
        <w:spacing w:after="120"/>
        <w:ind w:firstLine="567"/>
        <w:jc w:val="both"/>
        <w:rPr>
          <w:rFonts w:ascii="Times New Arabic" w:hAnsi="Times New Arabic"/>
          <w:lang w:val="en-ID"/>
        </w:rPr>
      </w:pPr>
      <w:r w:rsidRPr="002C3956">
        <w:rPr>
          <w:rStyle w:val="FootnoteReference"/>
          <w:rFonts w:ascii="Times New Arabic" w:hAnsi="Times New Arabic"/>
        </w:rPr>
        <w:footnoteRef/>
      </w:r>
      <w:r w:rsidRPr="002C3956">
        <w:rPr>
          <w:rFonts w:ascii="Times New Arabic" w:hAnsi="Times New Arabic"/>
        </w:rPr>
        <w:t xml:space="preserve"> Taufik Rivaldi and Nuriza Dora, “</w:t>
      </w:r>
      <w:r w:rsidR="0024003A" w:rsidRPr="0024003A">
        <w:rPr>
          <w:rFonts w:ascii="Times New Arabic" w:hAnsi="Times New Arabic"/>
        </w:rPr>
        <w:t>Online</w:t>
      </w:r>
      <w:r w:rsidRPr="002C3956">
        <w:rPr>
          <w:rFonts w:ascii="Times New Arabic" w:hAnsi="Times New Arabic"/>
        </w:rPr>
        <w:t xml:space="preserve"> Gambling and Adolescent Social Behavior in Kotasan Village, Galang District,” </w:t>
      </w:r>
      <w:r w:rsidRPr="00DA5429">
        <w:rPr>
          <w:rFonts w:ascii="Times New Arabic" w:hAnsi="Times New Arabic"/>
          <w:i/>
          <w:iCs/>
        </w:rPr>
        <w:t>Edu Cendikia: Scientific Journal of Education</w:t>
      </w:r>
      <w:r w:rsidRPr="002C3956">
        <w:rPr>
          <w:rFonts w:ascii="Times New Arabic" w:hAnsi="Times New Arabic"/>
        </w:rPr>
        <w:t xml:space="preserve"> 5, no. 2 (2025): pp. 699–701.</w:t>
      </w:r>
    </w:p>
  </w:footnote>
  <w:footnote w:id="53">
    <w:p w14:paraId="41F0E431" w14:textId="5F9FF09C" w:rsidR="004923A8" w:rsidRPr="002C3956" w:rsidRDefault="004923A8" w:rsidP="00534E22">
      <w:pPr>
        <w:pStyle w:val="FootnoteText"/>
        <w:spacing w:after="120"/>
        <w:ind w:firstLine="567"/>
        <w:jc w:val="both"/>
        <w:rPr>
          <w:rFonts w:ascii="Times New Arabic" w:hAnsi="Times New Arabic"/>
          <w:lang w:val="en-ID"/>
        </w:rPr>
      </w:pPr>
      <w:r w:rsidRPr="002C3956">
        <w:rPr>
          <w:rStyle w:val="FootnoteReference"/>
          <w:rFonts w:ascii="Times New Arabic" w:hAnsi="Times New Arabic"/>
        </w:rPr>
        <w:footnoteRef/>
      </w:r>
      <w:r w:rsidRPr="002C3956">
        <w:rPr>
          <w:rFonts w:ascii="Times New Arabic" w:hAnsi="Times New Arabic"/>
        </w:rPr>
        <w:t xml:space="preserve"> Alex M. T. Russell, Erika Langham, and Nerilee Hing, “Social Influences Normalize Gambling-Related Harm among Higher Risk Gamblers,” </w:t>
      </w:r>
      <w:r w:rsidRPr="00DA5429">
        <w:rPr>
          <w:rFonts w:ascii="Times New Arabic" w:hAnsi="Times New Arabic"/>
          <w:i/>
          <w:iCs/>
        </w:rPr>
        <w:t>Journal of Behavioral Addictions</w:t>
      </w:r>
      <w:r w:rsidRPr="002C3956">
        <w:rPr>
          <w:rFonts w:ascii="Times New Arabic" w:hAnsi="Times New Arabic"/>
        </w:rPr>
        <w:t xml:space="preserve"> 7, no. 4 (2018): 1108</w:t>
      </w:r>
    </w:p>
  </w:footnote>
  <w:footnote w:id="54">
    <w:p w14:paraId="01E2190D" w14:textId="47A75045" w:rsidR="00511E8C" w:rsidRPr="002C3956" w:rsidRDefault="00511E8C" w:rsidP="00534E22">
      <w:pPr>
        <w:pStyle w:val="FootnoteText"/>
        <w:spacing w:after="120"/>
        <w:ind w:firstLine="567"/>
        <w:jc w:val="both"/>
        <w:rPr>
          <w:rFonts w:ascii="Times New Arabic" w:hAnsi="Times New Arabic"/>
          <w:lang w:val="en-ID"/>
        </w:rPr>
      </w:pPr>
      <w:r w:rsidRPr="002C3956">
        <w:rPr>
          <w:rStyle w:val="FootnoteReference"/>
          <w:rFonts w:ascii="Times New Arabic" w:hAnsi="Times New Arabic"/>
        </w:rPr>
        <w:footnoteRef/>
      </w:r>
      <w:r w:rsidRPr="002C3956">
        <w:rPr>
          <w:rFonts w:ascii="Times New Arabic" w:hAnsi="Times New Arabic"/>
        </w:rPr>
        <w:t xml:space="preserve"> Muhamad Masrur, “The Concept of Wealth in the Qur’an and Hadith,” </w:t>
      </w:r>
      <w:r w:rsidRPr="00DA5429">
        <w:rPr>
          <w:rFonts w:ascii="Times New Arabic" w:hAnsi="Times New Arabic"/>
          <w:i/>
          <w:iCs/>
        </w:rPr>
        <w:t>Journal of Islamic Law</w:t>
      </w:r>
      <w:r w:rsidRPr="002C3956">
        <w:rPr>
          <w:rFonts w:ascii="Times New Arabic" w:hAnsi="Times New Arabic"/>
        </w:rPr>
        <w:t>, Vol. 15, No. 1 (June 2017), 122.</w:t>
      </w:r>
    </w:p>
  </w:footnote>
  <w:footnote w:id="55">
    <w:p w14:paraId="3AF5E10B" w14:textId="6DDBF477" w:rsidR="00511E8C" w:rsidRPr="002C3956" w:rsidRDefault="00511E8C" w:rsidP="00534E22">
      <w:pPr>
        <w:pStyle w:val="FootnoteText"/>
        <w:spacing w:after="120"/>
        <w:ind w:firstLine="567"/>
        <w:jc w:val="both"/>
        <w:rPr>
          <w:rFonts w:ascii="Times New Arabic" w:hAnsi="Times New Arabic"/>
        </w:rPr>
      </w:pPr>
      <w:r w:rsidRPr="002C3956">
        <w:rPr>
          <w:rStyle w:val="FootnoteReference"/>
          <w:rFonts w:ascii="Times New Arabic" w:hAnsi="Times New Arabic"/>
        </w:rPr>
        <w:footnoteRef/>
      </w:r>
      <w:r w:rsidRPr="002C3956">
        <w:rPr>
          <w:rFonts w:ascii="Times New Arabic" w:hAnsi="Times New Arabic"/>
        </w:rPr>
        <w:t xml:space="preserve"> Iqmal Imanda, Tan Dwi Rizki Ramadini, and Nurhafiza, “The Impact of Gambling and</w:t>
      </w:r>
      <w:r w:rsidR="00DA5429">
        <w:rPr>
          <w:rFonts w:ascii="Times New Arabic" w:hAnsi="Times New Arabic"/>
        </w:rPr>
        <w:t xml:space="preserve"> </w:t>
      </w:r>
      <w:r w:rsidRPr="002C3956">
        <w:rPr>
          <w:rFonts w:ascii="Times New Arabic" w:hAnsi="Times New Arabic"/>
        </w:rPr>
        <w:t xml:space="preserve">Illegal </w:t>
      </w:r>
      <w:r w:rsidR="0024003A" w:rsidRPr="0024003A">
        <w:rPr>
          <w:rFonts w:ascii="Times New Arabic" w:hAnsi="Times New Arabic"/>
        </w:rPr>
        <w:t>Online</w:t>
      </w:r>
      <w:r w:rsidRPr="002C3956">
        <w:rPr>
          <w:rFonts w:ascii="Times New Arabic" w:hAnsi="Times New Arabic"/>
        </w:rPr>
        <w:t xml:space="preserve"> Lending,” </w:t>
      </w:r>
      <w:r w:rsidRPr="00DA5429">
        <w:rPr>
          <w:rFonts w:ascii="Times New Arabic" w:hAnsi="Times New Arabic"/>
          <w:i/>
          <w:iCs/>
        </w:rPr>
        <w:t>Al-Maal: Journal of Islamic Economic Studies</w:t>
      </w:r>
      <w:r w:rsidRPr="002C3956">
        <w:rPr>
          <w:rFonts w:ascii="Times New Arabic" w:hAnsi="Times New Arabic"/>
        </w:rPr>
        <w:t xml:space="preserve"> 1, no. 1 (2026): 52–54.</w:t>
      </w:r>
    </w:p>
    <w:p w14:paraId="6D50684F" w14:textId="69EEAC2A" w:rsidR="00511E8C" w:rsidRPr="002C3956" w:rsidRDefault="00511E8C" w:rsidP="00534E22">
      <w:pPr>
        <w:pStyle w:val="FootnoteText"/>
        <w:spacing w:after="120"/>
        <w:jc w:val="both"/>
        <w:rPr>
          <w:rFonts w:ascii="Times New Arabic" w:hAnsi="Times New Arabic"/>
          <w:lang w:val="en-ID"/>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53A761" w14:textId="77777777" w:rsidR="00534E22" w:rsidRDefault="00534E22" w:rsidP="00534E22">
    <w:pPr>
      <w:pStyle w:val="Header"/>
      <w:tabs>
        <w:tab w:val="left" w:pos="6660"/>
      </w:tabs>
      <w:jc w:val="both"/>
      <w:rPr>
        <w:rFonts w:ascii="Cambria" w:hAnsi="Cambria" w:cs="Calibri"/>
        <w:i/>
        <w:iCs/>
        <w:sz w:val="20"/>
        <w:szCs w:val="20"/>
      </w:rPr>
    </w:pPr>
    <w:r w:rsidRPr="00534E22">
      <w:rPr>
        <w:rFonts w:ascii="Cambria" w:hAnsi="Cambria" w:cs="Calibri"/>
        <w:i/>
        <w:iCs/>
        <w:sz w:val="20"/>
        <w:szCs w:val="20"/>
      </w:rPr>
      <w:t xml:space="preserve">Maulida Putri, Lathifah Nafsi, Syafira Mardhotilla Wahyuni, </w:t>
    </w:r>
  </w:p>
  <w:p w14:paraId="00E73ECE" w14:textId="430ED6CF" w:rsidR="00D04F74" w:rsidRPr="00534E22" w:rsidRDefault="00534E22" w:rsidP="00534E22">
    <w:pPr>
      <w:pStyle w:val="Header"/>
      <w:tabs>
        <w:tab w:val="left" w:pos="6660"/>
      </w:tabs>
      <w:jc w:val="both"/>
      <w:rPr>
        <w:rFonts w:ascii="Cambria" w:hAnsi="Cambria" w:cs="Calibri"/>
        <w:i/>
        <w:iCs/>
        <w:sz w:val="20"/>
        <w:szCs w:val="20"/>
      </w:rPr>
    </w:pPr>
    <w:r w:rsidRPr="00534E22">
      <w:rPr>
        <w:rFonts w:ascii="Cambria" w:hAnsi="Cambria" w:cs="Calibri"/>
        <w:i/>
        <w:iCs/>
        <w:sz w:val="20"/>
        <w:szCs w:val="20"/>
      </w:rPr>
      <w:t xml:space="preserve">Thematic Study </w:t>
    </w:r>
    <w:r>
      <w:rPr>
        <w:rFonts w:ascii="Cambria" w:hAnsi="Cambria" w:cs="Calibri"/>
        <w:i/>
        <w:iCs/>
        <w:sz w:val="20"/>
        <w:szCs w:val="20"/>
      </w:rPr>
      <w:t>o</w:t>
    </w:r>
    <w:r w:rsidRPr="00534E22">
      <w:rPr>
        <w:rFonts w:ascii="Cambria" w:hAnsi="Cambria" w:cs="Calibri"/>
        <w:i/>
        <w:iCs/>
        <w:sz w:val="20"/>
        <w:szCs w:val="20"/>
      </w:rPr>
      <w:t xml:space="preserve">f Verses </w:t>
    </w:r>
    <w:r>
      <w:rPr>
        <w:rFonts w:ascii="Cambria" w:hAnsi="Cambria" w:cs="Calibri"/>
        <w:i/>
        <w:iCs/>
        <w:sz w:val="20"/>
        <w:szCs w:val="20"/>
      </w:rPr>
      <w:t>o</w:t>
    </w:r>
    <w:r w:rsidRPr="00534E22">
      <w:rPr>
        <w:rFonts w:ascii="Cambria" w:hAnsi="Cambria" w:cs="Calibri"/>
        <w:i/>
        <w:iCs/>
        <w:sz w:val="20"/>
        <w:szCs w:val="20"/>
      </w:rPr>
      <w:t>n Maysir</w:t>
    </w:r>
    <w:r>
      <w:rPr>
        <w:rFonts w:ascii="Cambria" w:hAnsi="Cambria" w:cs="Calibri"/>
        <w:i/>
        <w:iCs/>
        <w:sz w:val="20"/>
        <w:szCs w:val="20"/>
      </w:rPr>
      <w:t xml:space="preserve">: </w:t>
    </w:r>
    <w:r w:rsidRPr="00534E22">
      <w:rPr>
        <w:rFonts w:ascii="Cambria" w:hAnsi="Cambria" w:cs="Calibri"/>
        <w:i/>
        <w:iCs/>
        <w:sz w:val="20"/>
        <w:szCs w:val="20"/>
      </w:rPr>
      <w:t>The Relevance and Qur’anic Solutions to Online Gambling in Family Resilience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D06FDE" w14:textId="77777777" w:rsidR="00534E22" w:rsidRDefault="00534E22" w:rsidP="00534E22">
    <w:pPr>
      <w:pStyle w:val="Header"/>
      <w:tabs>
        <w:tab w:val="clear" w:pos="4680"/>
      </w:tabs>
      <w:rPr>
        <w:rFonts w:ascii="Cambria" w:hAnsi="Cambria" w:cs="Calibri"/>
        <w:sz w:val="20"/>
        <w:szCs w:val="20"/>
        <w:lang w:val="id-ID"/>
      </w:rPr>
    </w:pPr>
    <w:bookmarkStart w:id="1" w:name="_Hlk215209307"/>
    <w:bookmarkStart w:id="2" w:name="_Hlk215209308"/>
    <w:r w:rsidRPr="00EF4232">
      <w:rPr>
        <w:rFonts w:ascii="Gentium Basic" w:hAnsi="Gentium Basic" w:cs="Calibri"/>
        <w:sz w:val="20"/>
        <w:szCs w:val="20"/>
      </w:rPr>
      <w:t>Volume 7, Number 2, July - December</w:t>
    </w:r>
    <w:r>
      <w:rPr>
        <w:rFonts w:ascii="Gentium Basic" w:hAnsi="Gentium Basic" w:cs="Calibri"/>
        <w:sz w:val="20"/>
        <w:szCs w:val="20"/>
        <w:lang w:val="id-ID"/>
      </w:rPr>
      <w:t xml:space="preserve"> </w:t>
    </w:r>
    <w:r w:rsidRPr="00EF4232">
      <w:rPr>
        <w:rFonts w:ascii="Gentium Basic" w:hAnsi="Gentium Basic" w:cs="Calibri"/>
        <w:sz w:val="20"/>
        <w:szCs w:val="20"/>
      </w:rPr>
      <w:t>2025</w:t>
    </w:r>
    <w:r w:rsidRPr="00EF4232">
      <w:rPr>
        <w:rFonts w:ascii="Gentium Basic" w:hAnsi="Gentium Basic" w:cs="Calibri"/>
        <w:sz w:val="20"/>
        <w:szCs w:val="20"/>
      </w:rPr>
      <w:tab/>
      <w:t xml:space="preserve">            </w:t>
    </w:r>
    <w:r>
      <w:rPr>
        <w:rFonts w:ascii="Cambria" w:hAnsi="Cambria" w:cs="Calibri"/>
        <w:sz w:val="20"/>
        <w:szCs w:val="20"/>
        <w:lang w:val="id-ID"/>
      </w:rPr>
      <w:t>e-</w:t>
    </w:r>
    <w:r w:rsidRPr="009505B9">
      <w:rPr>
        <w:rFonts w:ascii="Cambria" w:hAnsi="Cambria" w:cs="Calibri"/>
        <w:sz w:val="20"/>
        <w:szCs w:val="20"/>
        <w:lang w:val="id-ID"/>
      </w:rPr>
      <w:t>ISSN</w:t>
    </w:r>
    <w:r>
      <w:rPr>
        <w:rFonts w:ascii="Cambria" w:hAnsi="Cambria" w:cs="Calibri"/>
        <w:sz w:val="20"/>
        <w:szCs w:val="20"/>
        <w:lang w:val="id-ID"/>
      </w:rPr>
      <w:t xml:space="preserve">  </w:t>
    </w:r>
    <w:r w:rsidRPr="009505B9">
      <w:rPr>
        <w:rFonts w:ascii="Cambria" w:hAnsi="Cambria" w:cs="Calibri"/>
        <w:sz w:val="20"/>
        <w:szCs w:val="20"/>
        <w:lang w:val="id-ID"/>
      </w:rPr>
      <w:t>2716-4241</w:t>
    </w:r>
  </w:p>
  <w:p w14:paraId="76605DB4" w14:textId="77777777" w:rsidR="00534E22" w:rsidRDefault="00534E22" w:rsidP="00534E22">
    <w:pPr>
      <w:pStyle w:val="Header"/>
      <w:jc w:val="both"/>
      <w:rPr>
        <w:rFonts w:ascii="Gentium Basic" w:hAnsi="Gentium Basic" w:cs="Calibri"/>
        <w:sz w:val="20"/>
        <w:szCs w:val="20"/>
      </w:rPr>
    </w:pPr>
    <w:r>
      <w:rPr>
        <w:rFonts w:ascii="Cambria" w:hAnsi="Cambria" w:cs="Calibri"/>
        <w:sz w:val="20"/>
        <w:szCs w:val="20"/>
        <w:lang w:val="id-ID"/>
      </w:rPr>
      <w:tab/>
    </w:r>
    <w:r w:rsidRPr="00EF4232">
      <w:rPr>
        <w:rFonts w:ascii="Cambria" w:hAnsi="Cambria" w:cs="Calibri"/>
        <w:sz w:val="20"/>
        <w:szCs w:val="20"/>
      </w:rPr>
      <w:t xml:space="preserve">                     </w:t>
    </w:r>
    <w:r w:rsidRPr="00EF4232">
      <w:rPr>
        <w:rFonts w:ascii="Cambria" w:hAnsi="Cambria" w:cs="Calibri"/>
        <w:sz w:val="20"/>
        <w:szCs w:val="20"/>
      </w:rPr>
      <w:tab/>
    </w:r>
    <w:r w:rsidRPr="009E7BEE">
      <w:rPr>
        <w:rFonts w:ascii="Gentium Basic" w:hAnsi="Gentium Basic" w:cs="Calibri"/>
        <w:sz w:val="20"/>
        <w:szCs w:val="20"/>
      </w:rPr>
      <w:t>ISSN  2723-2344</w:t>
    </w:r>
  </w:p>
  <w:bookmarkEnd w:id="1"/>
  <w:bookmarkEnd w:id="2"/>
  <w:p w14:paraId="1F2886AE" w14:textId="7276B521" w:rsidR="00D04F74" w:rsidRPr="005E2E17" w:rsidRDefault="00D04F74" w:rsidP="00686DD7">
    <w:pPr>
      <w:pStyle w:val="NoSpacing"/>
      <w:jc w:val="both"/>
      <w:rPr>
        <w:rFonts w:ascii="Gentium Basic" w:hAnsi="Gentium Basic"/>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5A30F4"/>
    <w:multiLevelType w:val="hybridMultilevel"/>
    <w:tmpl w:val="56845F52"/>
    <w:lvl w:ilvl="0" w:tplc="4442FF94">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 w15:restartNumberingAfterBreak="0">
    <w:nsid w:val="0F01540B"/>
    <w:multiLevelType w:val="hybridMultilevel"/>
    <w:tmpl w:val="6464ADB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373596E"/>
    <w:multiLevelType w:val="hybridMultilevel"/>
    <w:tmpl w:val="31923F10"/>
    <w:lvl w:ilvl="0" w:tplc="B5DA0B48">
      <w:start w:val="1"/>
      <w:numFmt w:val="decimal"/>
      <w:lvlText w:val="%1."/>
      <w:lvlJc w:val="left"/>
      <w:pPr>
        <w:ind w:left="720" w:hanging="360"/>
      </w:pPr>
      <w:rPr>
        <w:rFonts w:asciiTheme="majorBidi" w:eastAsia="Times New Roman" w:hAnsiTheme="majorBidi" w:cstheme="majorBid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8A76CA6"/>
    <w:multiLevelType w:val="hybridMultilevel"/>
    <w:tmpl w:val="4746C11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A13002B"/>
    <w:multiLevelType w:val="hybridMultilevel"/>
    <w:tmpl w:val="7AB613F6"/>
    <w:lvl w:ilvl="0" w:tplc="4CF83DF6">
      <w:start w:val="2"/>
      <w:numFmt w:val="decimal"/>
      <w:lvlText w:val="%1."/>
      <w:lvlJc w:val="left"/>
      <w:pPr>
        <w:ind w:left="1572" w:hanging="360"/>
      </w:pPr>
      <w:rPr>
        <w:rFonts w:hint="default"/>
      </w:rPr>
    </w:lvl>
    <w:lvl w:ilvl="1" w:tplc="04090019" w:tentative="1">
      <w:start w:val="1"/>
      <w:numFmt w:val="lowerLetter"/>
      <w:lvlText w:val="%2."/>
      <w:lvlJc w:val="left"/>
      <w:pPr>
        <w:ind w:left="2292" w:hanging="360"/>
      </w:pPr>
    </w:lvl>
    <w:lvl w:ilvl="2" w:tplc="0409001B" w:tentative="1">
      <w:start w:val="1"/>
      <w:numFmt w:val="lowerRoman"/>
      <w:lvlText w:val="%3."/>
      <w:lvlJc w:val="right"/>
      <w:pPr>
        <w:ind w:left="3012" w:hanging="180"/>
      </w:pPr>
    </w:lvl>
    <w:lvl w:ilvl="3" w:tplc="0409000F" w:tentative="1">
      <w:start w:val="1"/>
      <w:numFmt w:val="decimal"/>
      <w:lvlText w:val="%4."/>
      <w:lvlJc w:val="left"/>
      <w:pPr>
        <w:ind w:left="3732" w:hanging="360"/>
      </w:pPr>
    </w:lvl>
    <w:lvl w:ilvl="4" w:tplc="04090019" w:tentative="1">
      <w:start w:val="1"/>
      <w:numFmt w:val="lowerLetter"/>
      <w:lvlText w:val="%5."/>
      <w:lvlJc w:val="left"/>
      <w:pPr>
        <w:ind w:left="4452" w:hanging="360"/>
      </w:pPr>
    </w:lvl>
    <w:lvl w:ilvl="5" w:tplc="0409001B" w:tentative="1">
      <w:start w:val="1"/>
      <w:numFmt w:val="lowerRoman"/>
      <w:lvlText w:val="%6."/>
      <w:lvlJc w:val="right"/>
      <w:pPr>
        <w:ind w:left="5172" w:hanging="180"/>
      </w:pPr>
    </w:lvl>
    <w:lvl w:ilvl="6" w:tplc="0409000F" w:tentative="1">
      <w:start w:val="1"/>
      <w:numFmt w:val="decimal"/>
      <w:lvlText w:val="%7."/>
      <w:lvlJc w:val="left"/>
      <w:pPr>
        <w:ind w:left="5892" w:hanging="360"/>
      </w:pPr>
    </w:lvl>
    <w:lvl w:ilvl="7" w:tplc="04090019" w:tentative="1">
      <w:start w:val="1"/>
      <w:numFmt w:val="lowerLetter"/>
      <w:lvlText w:val="%8."/>
      <w:lvlJc w:val="left"/>
      <w:pPr>
        <w:ind w:left="6612" w:hanging="360"/>
      </w:pPr>
    </w:lvl>
    <w:lvl w:ilvl="8" w:tplc="0409001B" w:tentative="1">
      <w:start w:val="1"/>
      <w:numFmt w:val="lowerRoman"/>
      <w:lvlText w:val="%9."/>
      <w:lvlJc w:val="right"/>
      <w:pPr>
        <w:ind w:left="7332" w:hanging="180"/>
      </w:pPr>
    </w:lvl>
  </w:abstractNum>
  <w:abstractNum w:abstractNumId="5" w15:restartNumberingAfterBreak="0">
    <w:nsid w:val="1C0C3739"/>
    <w:multiLevelType w:val="hybridMultilevel"/>
    <w:tmpl w:val="1E82DD22"/>
    <w:lvl w:ilvl="0" w:tplc="1D20B7CE">
      <w:start w:val="1"/>
      <w:numFmt w:val="bullet"/>
      <w:lvlText w:val=""/>
      <w:lvlJc w:val="left"/>
      <w:pPr>
        <w:ind w:left="720" w:hanging="360"/>
      </w:pPr>
      <w:rPr>
        <w:rFonts w:ascii="Symbol" w:hAnsi="Symbol" w:hint="default"/>
        <w:sz w:val="1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A06771"/>
    <w:multiLevelType w:val="hybridMultilevel"/>
    <w:tmpl w:val="CB2CDE10"/>
    <w:lvl w:ilvl="0" w:tplc="20FA6C2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23E657E"/>
    <w:multiLevelType w:val="hybridMultilevel"/>
    <w:tmpl w:val="A5C28492"/>
    <w:lvl w:ilvl="0" w:tplc="38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3B34E19"/>
    <w:multiLevelType w:val="hybridMultilevel"/>
    <w:tmpl w:val="972C0EC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24AD45CB"/>
    <w:multiLevelType w:val="hybridMultilevel"/>
    <w:tmpl w:val="A832346A"/>
    <w:lvl w:ilvl="0" w:tplc="AD40FEB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15:restartNumberingAfterBreak="0">
    <w:nsid w:val="3206483F"/>
    <w:multiLevelType w:val="hybridMultilevel"/>
    <w:tmpl w:val="7EFAB8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7147A2"/>
    <w:multiLevelType w:val="hybridMultilevel"/>
    <w:tmpl w:val="3A120D8E"/>
    <w:lvl w:ilvl="0" w:tplc="C792C51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B5F5FF2"/>
    <w:multiLevelType w:val="hybridMultilevel"/>
    <w:tmpl w:val="F39078F8"/>
    <w:lvl w:ilvl="0" w:tplc="38090019">
      <w:start w:val="1"/>
      <w:numFmt w:val="lowerLetter"/>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3" w15:restartNumberingAfterBreak="0">
    <w:nsid w:val="413F53BC"/>
    <w:multiLevelType w:val="hybridMultilevel"/>
    <w:tmpl w:val="774615D6"/>
    <w:lvl w:ilvl="0" w:tplc="F8A0C6D4">
      <w:start w:val="1"/>
      <w:numFmt w:val="arabicAlpha"/>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14E04B7"/>
    <w:multiLevelType w:val="hybridMultilevel"/>
    <w:tmpl w:val="05AE2336"/>
    <w:lvl w:ilvl="0" w:tplc="0421000F">
      <w:start w:val="1"/>
      <w:numFmt w:val="decimal"/>
      <w:lvlText w:val="%1."/>
      <w:lvlJc w:val="left"/>
      <w:pPr>
        <w:ind w:left="1498" w:hanging="360"/>
      </w:pPr>
    </w:lvl>
    <w:lvl w:ilvl="1" w:tplc="04210019" w:tentative="1">
      <w:start w:val="1"/>
      <w:numFmt w:val="lowerLetter"/>
      <w:lvlText w:val="%2."/>
      <w:lvlJc w:val="left"/>
      <w:pPr>
        <w:ind w:left="2218" w:hanging="360"/>
      </w:pPr>
    </w:lvl>
    <w:lvl w:ilvl="2" w:tplc="0421001B" w:tentative="1">
      <w:start w:val="1"/>
      <w:numFmt w:val="lowerRoman"/>
      <w:lvlText w:val="%3."/>
      <w:lvlJc w:val="right"/>
      <w:pPr>
        <w:ind w:left="2938" w:hanging="180"/>
      </w:pPr>
    </w:lvl>
    <w:lvl w:ilvl="3" w:tplc="0421000F" w:tentative="1">
      <w:start w:val="1"/>
      <w:numFmt w:val="decimal"/>
      <w:lvlText w:val="%4."/>
      <w:lvlJc w:val="left"/>
      <w:pPr>
        <w:ind w:left="3658" w:hanging="360"/>
      </w:pPr>
    </w:lvl>
    <w:lvl w:ilvl="4" w:tplc="04210019" w:tentative="1">
      <w:start w:val="1"/>
      <w:numFmt w:val="lowerLetter"/>
      <w:lvlText w:val="%5."/>
      <w:lvlJc w:val="left"/>
      <w:pPr>
        <w:ind w:left="4378" w:hanging="360"/>
      </w:pPr>
    </w:lvl>
    <w:lvl w:ilvl="5" w:tplc="0421001B" w:tentative="1">
      <w:start w:val="1"/>
      <w:numFmt w:val="lowerRoman"/>
      <w:lvlText w:val="%6."/>
      <w:lvlJc w:val="right"/>
      <w:pPr>
        <w:ind w:left="5098" w:hanging="180"/>
      </w:pPr>
    </w:lvl>
    <w:lvl w:ilvl="6" w:tplc="0421000F" w:tentative="1">
      <w:start w:val="1"/>
      <w:numFmt w:val="decimal"/>
      <w:lvlText w:val="%7."/>
      <w:lvlJc w:val="left"/>
      <w:pPr>
        <w:ind w:left="5818" w:hanging="360"/>
      </w:pPr>
    </w:lvl>
    <w:lvl w:ilvl="7" w:tplc="04210019" w:tentative="1">
      <w:start w:val="1"/>
      <w:numFmt w:val="lowerLetter"/>
      <w:lvlText w:val="%8."/>
      <w:lvlJc w:val="left"/>
      <w:pPr>
        <w:ind w:left="6538" w:hanging="360"/>
      </w:pPr>
    </w:lvl>
    <w:lvl w:ilvl="8" w:tplc="0421001B" w:tentative="1">
      <w:start w:val="1"/>
      <w:numFmt w:val="lowerRoman"/>
      <w:lvlText w:val="%9."/>
      <w:lvlJc w:val="right"/>
      <w:pPr>
        <w:ind w:left="7258" w:hanging="180"/>
      </w:pPr>
    </w:lvl>
  </w:abstractNum>
  <w:abstractNum w:abstractNumId="15" w15:restartNumberingAfterBreak="0">
    <w:nsid w:val="41790D3E"/>
    <w:multiLevelType w:val="hybridMultilevel"/>
    <w:tmpl w:val="48C4E92C"/>
    <w:lvl w:ilvl="0" w:tplc="0409000F">
      <w:start w:val="1"/>
      <w:numFmt w:val="decimal"/>
      <w:lvlText w:val="%1."/>
      <w:lvlJc w:val="left"/>
      <w:pPr>
        <w:ind w:left="927" w:hanging="360"/>
      </w:pPr>
      <w:rPr>
        <w:rFonts w:cs="Times New Roman"/>
      </w:rPr>
    </w:lvl>
    <w:lvl w:ilvl="1" w:tplc="04090019">
      <w:start w:val="1"/>
      <w:numFmt w:val="lowerLetter"/>
      <w:lvlText w:val="%2."/>
      <w:lvlJc w:val="left"/>
      <w:pPr>
        <w:ind w:left="1647" w:hanging="360"/>
      </w:pPr>
      <w:rPr>
        <w:rFonts w:cs="Times New Roman"/>
      </w:rPr>
    </w:lvl>
    <w:lvl w:ilvl="2" w:tplc="0409001B">
      <w:start w:val="1"/>
      <w:numFmt w:val="lowerRoman"/>
      <w:lvlText w:val="%3."/>
      <w:lvlJc w:val="right"/>
      <w:pPr>
        <w:ind w:left="2367" w:hanging="180"/>
      </w:pPr>
      <w:rPr>
        <w:rFonts w:cs="Times New Roman"/>
      </w:rPr>
    </w:lvl>
    <w:lvl w:ilvl="3" w:tplc="0409000F">
      <w:start w:val="1"/>
      <w:numFmt w:val="decimal"/>
      <w:lvlText w:val="%4."/>
      <w:lvlJc w:val="left"/>
      <w:pPr>
        <w:ind w:left="3087" w:hanging="360"/>
      </w:pPr>
      <w:rPr>
        <w:rFonts w:cs="Times New Roman"/>
      </w:rPr>
    </w:lvl>
    <w:lvl w:ilvl="4" w:tplc="04090019">
      <w:start w:val="1"/>
      <w:numFmt w:val="lowerLetter"/>
      <w:lvlText w:val="%5."/>
      <w:lvlJc w:val="left"/>
      <w:pPr>
        <w:ind w:left="3807" w:hanging="360"/>
      </w:pPr>
      <w:rPr>
        <w:rFonts w:cs="Times New Roman"/>
      </w:rPr>
    </w:lvl>
    <w:lvl w:ilvl="5" w:tplc="0409001B">
      <w:start w:val="1"/>
      <w:numFmt w:val="lowerRoman"/>
      <w:lvlText w:val="%6."/>
      <w:lvlJc w:val="right"/>
      <w:pPr>
        <w:ind w:left="4527" w:hanging="180"/>
      </w:pPr>
      <w:rPr>
        <w:rFonts w:cs="Times New Roman"/>
      </w:rPr>
    </w:lvl>
    <w:lvl w:ilvl="6" w:tplc="0409000F">
      <w:start w:val="1"/>
      <w:numFmt w:val="decimal"/>
      <w:lvlText w:val="%7."/>
      <w:lvlJc w:val="left"/>
      <w:pPr>
        <w:ind w:left="5247" w:hanging="360"/>
      </w:pPr>
      <w:rPr>
        <w:rFonts w:cs="Times New Roman"/>
      </w:rPr>
    </w:lvl>
    <w:lvl w:ilvl="7" w:tplc="04090019">
      <w:start w:val="1"/>
      <w:numFmt w:val="lowerLetter"/>
      <w:lvlText w:val="%8."/>
      <w:lvlJc w:val="left"/>
      <w:pPr>
        <w:ind w:left="5967" w:hanging="360"/>
      </w:pPr>
      <w:rPr>
        <w:rFonts w:cs="Times New Roman"/>
      </w:rPr>
    </w:lvl>
    <w:lvl w:ilvl="8" w:tplc="0409001B">
      <w:start w:val="1"/>
      <w:numFmt w:val="lowerRoman"/>
      <w:lvlText w:val="%9."/>
      <w:lvlJc w:val="right"/>
      <w:pPr>
        <w:ind w:left="6687" w:hanging="180"/>
      </w:pPr>
      <w:rPr>
        <w:rFonts w:cs="Times New Roman"/>
      </w:rPr>
    </w:lvl>
  </w:abstractNum>
  <w:abstractNum w:abstractNumId="16" w15:restartNumberingAfterBreak="0">
    <w:nsid w:val="445F332A"/>
    <w:multiLevelType w:val="hybridMultilevel"/>
    <w:tmpl w:val="0488395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94F2D4B"/>
    <w:multiLevelType w:val="multilevel"/>
    <w:tmpl w:val="5534476A"/>
    <w:lvl w:ilvl="0">
      <w:start w:val="1"/>
      <w:numFmt w:val="decimal"/>
      <w:lvlText w:val="%1."/>
      <w:lvlJc w:val="left"/>
      <w:pPr>
        <w:ind w:left="1364" w:hanging="360"/>
      </w:pPr>
      <w:rPr>
        <w:rFonts w:cs="Times New Roman"/>
      </w:rPr>
    </w:lvl>
    <w:lvl w:ilvl="1">
      <w:start w:val="1"/>
      <w:numFmt w:val="decimal"/>
      <w:lvlText w:val="%2."/>
      <w:lvlJc w:val="left"/>
      <w:pPr>
        <w:ind w:left="2084" w:hanging="360"/>
      </w:pPr>
      <w:rPr>
        <w:rFonts w:cs="Times New Roman" w:hint="default"/>
      </w:rPr>
    </w:lvl>
    <w:lvl w:ilvl="2" w:tentative="1">
      <w:start w:val="1"/>
      <w:numFmt w:val="lowerRoman"/>
      <w:lvlText w:val="%3."/>
      <w:lvlJc w:val="right"/>
      <w:pPr>
        <w:ind w:left="2804" w:hanging="180"/>
      </w:pPr>
      <w:rPr>
        <w:rFonts w:cs="Times New Roman"/>
      </w:rPr>
    </w:lvl>
    <w:lvl w:ilvl="3" w:tentative="1">
      <w:start w:val="1"/>
      <w:numFmt w:val="decimal"/>
      <w:lvlText w:val="%4."/>
      <w:lvlJc w:val="left"/>
      <w:pPr>
        <w:ind w:left="3524" w:hanging="360"/>
      </w:pPr>
      <w:rPr>
        <w:rFonts w:cs="Times New Roman"/>
      </w:rPr>
    </w:lvl>
    <w:lvl w:ilvl="4" w:tentative="1">
      <w:start w:val="1"/>
      <w:numFmt w:val="lowerLetter"/>
      <w:lvlText w:val="%5."/>
      <w:lvlJc w:val="left"/>
      <w:pPr>
        <w:ind w:left="4244" w:hanging="360"/>
      </w:pPr>
      <w:rPr>
        <w:rFonts w:cs="Times New Roman"/>
      </w:rPr>
    </w:lvl>
    <w:lvl w:ilvl="5" w:tentative="1">
      <w:start w:val="1"/>
      <w:numFmt w:val="lowerRoman"/>
      <w:lvlText w:val="%6."/>
      <w:lvlJc w:val="right"/>
      <w:pPr>
        <w:ind w:left="4964" w:hanging="180"/>
      </w:pPr>
      <w:rPr>
        <w:rFonts w:cs="Times New Roman"/>
      </w:rPr>
    </w:lvl>
    <w:lvl w:ilvl="6" w:tentative="1">
      <w:start w:val="1"/>
      <w:numFmt w:val="decimal"/>
      <w:lvlText w:val="%7."/>
      <w:lvlJc w:val="left"/>
      <w:pPr>
        <w:ind w:left="5684" w:hanging="360"/>
      </w:pPr>
      <w:rPr>
        <w:rFonts w:cs="Times New Roman"/>
      </w:rPr>
    </w:lvl>
    <w:lvl w:ilvl="7" w:tentative="1">
      <w:start w:val="1"/>
      <w:numFmt w:val="lowerLetter"/>
      <w:lvlText w:val="%8."/>
      <w:lvlJc w:val="left"/>
      <w:pPr>
        <w:ind w:left="6404" w:hanging="360"/>
      </w:pPr>
      <w:rPr>
        <w:rFonts w:cs="Times New Roman"/>
      </w:rPr>
    </w:lvl>
    <w:lvl w:ilvl="8" w:tentative="1">
      <w:start w:val="1"/>
      <w:numFmt w:val="lowerRoman"/>
      <w:lvlText w:val="%9."/>
      <w:lvlJc w:val="right"/>
      <w:pPr>
        <w:ind w:left="7124" w:hanging="180"/>
      </w:pPr>
      <w:rPr>
        <w:rFonts w:cs="Times New Roman"/>
      </w:rPr>
    </w:lvl>
  </w:abstractNum>
  <w:abstractNum w:abstractNumId="18" w15:restartNumberingAfterBreak="0">
    <w:nsid w:val="51091E58"/>
    <w:multiLevelType w:val="hybridMultilevel"/>
    <w:tmpl w:val="59D26398"/>
    <w:lvl w:ilvl="0" w:tplc="443E4A62">
      <w:start w:val="1"/>
      <w:numFmt w:val="lowerLetter"/>
      <w:lvlText w:val="%1."/>
      <w:lvlJc w:val="left"/>
      <w:pPr>
        <w:ind w:left="720" w:hanging="360"/>
      </w:pPr>
      <w:rPr>
        <w:rFonts w:ascii="Times New Arabic" w:eastAsia="Times New Roman" w:hAnsi="Times New Arabic"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54EB0066"/>
    <w:multiLevelType w:val="hybridMultilevel"/>
    <w:tmpl w:val="B9348034"/>
    <w:lvl w:ilvl="0" w:tplc="04090019">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0" w15:restartNumberingAfterBreak="0">
    <w:nsid w:val="62FF2E13"/>
    <w:multiLevelType w:val="hybridMultilevel"/>
    <w:tmpl w:val="A56002FC"/>
    <w:lvl w:ilvl="0" w:tplc="59986E5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3FC11FD"/>
    <w:multiLevelType w:val="hybridMultilevel"/>
    <w:tmpl w:val="FEC8ED0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6445655C"/>
    <w:multiLevelType w:val="hybridMultilevel"/>
    <w:tmpl w:val="F1249620"/>
    <w:lvl w:ilvl="0" w:tplc="04090017">
      <w:start w:val="1"/>
      <w:numFmt w:val="lowerLetter"/>
      <w:lvlText w:val="%1)"/>
      <w:lvlJc w:val="left"/>
      <w:pPr>
        <w:ind w:left="720" w:hanging="360"/>
      </w:pPr>
    </w:lvl>
    <w:lvl w:ilvl="1" w:tplc="04090019" w:tentative="1">
      <w:start w:val="1"/>
      <w:numFmt w:val="lowerLetter"/>
      <w:lvlText w:val="%2."/>
      <w:lvlJc w:val="left"/>
      <w:pPr>
        <w:ind w:left="1569" w:hanging="360"/>
      </w:pPr>
    </w:lvl>
    <w:lvl w:ilvl="2" w:tplc="0409001B" w:tentative="1">
      <w:start w:val="1"/>
      <w:numFmt w:val="lowerRoman"/>
      <w:lvlText w:val="%3."/>
      <w:lvlJc w:val="right"/>
      <w:pPr>
        <w:ind w:left="2289" w:hanging="180"/>
      </w:pPr>
    </w:lvl>
    <w:lvl w:ilvl="3" w:tplc="0409000F" w:tentative="1">
      <w:start w:val="1"/>
      <w:numFmt w:val="decimal"/>
      <w:lvlText w:val="%4."/>
      <w:lvlJc w:val="left"/>
      <w:pPr>
        <w:ind w:left="3009" w:hanging="360"/>
      </w:pPr>
    </w:lvl>
    <w:lvl w:ilvl="4" w:tplc="04090019" w:tentative="1">
      <w:start w:val="1"/>
      <w:numFmt w:val="lowerLetter"/>
      <w:lvlText w:val="%5."/>
      <w:lvlJc w:val="left"/>
      <w:pPr>
        <w:ind w:left="3729" w:hanging="360"/>
      </w:pPr>
    </w:lvl>
    <w:lvl w:ilvl="5" w:tplc="0409001B" w:tentative="1">
      <w:start w:val="1"/>
      <w:numFmt w:val="lowerRoman"/>
      <w:lvlText w:val="%6."/>
      <w:lvlJc w:val="right"/>
      <w:pPr>
        <w:ind w:left="4449" w:hanging="180"/>
      </w:pPr>
    </w:lvl>
    <w:lvl w:ilvl="6" w:tplc="0409000F" w:tentative="1">
      <w:start w:val="1"/>
      <w:numFmt w:val="decimal"/>
      <w:lvlText w:val="%7."/>
      <w:lvlJc w:val="left"/>
      <w:pPr>
        <w:ind w:left="5169" w:hanging="360"/>
      </w:pPr>
    </w:lvl>
    <w:lvl w:ilvl="7" w:tplc="04090019" w:tentative="1">
      <w:start w:val="1"/>
      <w:numFmt w:val="lowerLetter"/>
      <w:lvlText w:val="%8."/>
      <w:lvlJc w:val="left"/>
      <w:pPr>
        <w:ind w:left="5889" w:hanging="360"/>
      </w:pPr>
    </w:lvl>
    <w:lvl w:ilvl="8" w:tplc="0409001B" w:tentative="1">
      <w:start w:val="1"/>
      <w:numFmt w:val="lowerRoman"/>
      <w:lvlText w:val="%9."/>
      <w:lvlJc w:val="right"/>
      <w:pPr>
        <w:ind w:left="6609" w:hanging="180"/>
      </w:pPr>
    </w:lvl>
  </w:abstractNum>
  <w:abstractNum w:abstractNumId="23" w15:restartNumberingAfterBreak="0">
    <w:nsid w:val="66871E21"/>
    <w:multiLevelType w:val="hybridMultilevel"/>
    <w:tmpl w:val="3CF02EA4"/>
    <w:lvl w:ilvl="0" w:tplc="4CF83DF6">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4" w15:restartNumberingAfterBreak="0">
    <w:nsid w:val="68682D8D"/>
    <w:multiLevelType w:val="hybridMultilevel"/>
    <w:tmpl w:val="BBD8C6C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6B2D70FF"/>
    <w:multiLevelType w:val="hybridMultilevel"/>
    <w:tmpl w:val="B27A62C0"/>
    <w:lvl w:ilvl="0" w:tplc="2C82D79A">
      <w:start w:val="1"/>
      <w:numFmt w:val="decimal"/>
      <w:lvlText w:val="%1."/>
      <w:lvlJc w:val="left"/>
      <w:pPr>
        <w:ind w:left="644" w:hanging="360"/>
      </w:pPr>
      <w:rPr>
        <w:rFonts w:cs="Times New Roman" w:hint="default"/>
      </w:rPr>
    </w:lvl>
    <w:lvl w:ilvl="1" w:tplc="04210019" w:tentative="1">
      <w:start w:val="1"/>
      <w:numFmt w:val="lowerLetter"/>
      <w:lvlText w:val="%2."/>
      <w:lvlJc w:val="left"/>
      <w:pPr>
        <w:ind w:left="1364" w:hanging="360"/>
      </w:pPr>
      <w:rPr>
        <w:rFonts w:cs="Times New Roman"/>
      </w:rPr>
    </w:lvl>
    <w:lvl w:ilvl="2" w:tplc="0421001B" w:tentative="1">
      <w:start w:val="1"/>
      <w:numFmt w:val="lowerRoman"/>
      <w:lvlText w:val="%3."/>
      <w:lvlJc w:val="right"/>
      <w:pPr>
        <w:ind w:left="2084" w:hanging="180"/>
      </w:pPr>
      <w:rPr>
        <w:rFonts w:cs="Times New Roman"/>
      </w:rPr>
    </w:lvl>
    <w:lvl w:ilvl="3" w:tplc="0421000F" w:tentative="1">
      <w:start w:val="1"/>
      <w:numFmt w:val="decimal"/>
      <w:lvlText w:val="%4."/>
      <w:lvlJc w:val="left"/>
      <w:pPr>
        <w:ind w:left="2804" w:hanging="360"/>
      </w:pPr>
      <w:rPr>
        <w:rFonts w:cs="Times New Roman"/>
      </w:rPr>
    </w:lvl>
    <w:lvl w:ilvl="4" w:tplc="04210019" w:tentative="1">
      <w:start w:val="1"/>
      <w:numFmt w:val="lowerLetter"/>
      <w:lvlText w:val="%5."/>
      <w:lvlJc w:val="left"/>
      <w:pPr>
        <w:ind w:left="3524" w:hanging="360"/>
      </w:pPr>
      <w:rPr>
        <w:rFonts w:cs="Times New Roman"/>
      </w:rPr>
    </w:lvl>
    <w:lvl w:ilvl="5" w:tplc="0421001B" w:tentative="1">
      <w:start w:val="1"/>
      <w:numFmt w:val="lowerRoman"/>
      <w:lvlText w:val="%6."/>
      <w:lvlJc w:val="right"/>
      <w:pPr>
        <w:ind w:left="4244" w:hanging="180"/>
      </w:pPr>
      <w:rPr>
        <w:rFonts w:cs="Times New Roman"/>
      </w:rPr>
    </w:lvl>
    <w:lvl w:ilvl="6" w:tplc="0421000F" w:tentative="1">
      <w:start w:val="1"/>
      <w:numFmt w:val="decimal"/>
      <w:lvlText w:val="%7."/>
      <w:lvlJc w:val="left"/>
      <w:pPr>
        <w:ind w:left="4964" w:hanging="360"/>
      </w:pPr>
      <w:rPr>
        <w:rFonts w:cs="Times New Roman"/>
      </w:rPr>
    </w:lvl>
    <w:lvl w:ilvl="7" w:tplc="04210019" w:tentative="1">
      <w:start w:val="1"/>
      <w:numFmt w:val="lowerLetter"/>
      <w:lvlText w:val="%8."/>
      <w:lvlJc w:val="left"/>
      <w:pPr>
        <w:ind w:left="5684" w:hanging="360"/>
      </w:pPr>
      <w:rPr>
        <w:rFonts w:cs="Times New Roman"/>
      </w:rPr>
    </w:lvl>
    <w:lvl w:ilvl="8" w:tplc="0421001B" w:tentative="1">
      <w:start w:val="1"/>
      <w:numFmt w:val="lowerRoman"/>
      <w:lvlText w:val="%9."/>
      <w:lvlJc w:val="right"/>
      <w:pPr>
        <w:ind w:left="6404" w:hanging="180"/>
      </w:pPr>
      <w:rPr>
        <w:rFonts w:cs="Times New Roman"/>
      </w:rPr>
    </w:lvl>
  </w:abstractNum>
  <w:abstractNum w:abstractNumId="26" w15:restartNumberingAfterBreak="0">
    <w:nsid w:val="71D82A04"/>
    <w:multiLevelType w:val="hybridMultilevel"/>
    <w:tmpl w:val="17BE5952"/>
    <w:lvl w:ilvl="0" w:tplc="04210017">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7" w15:restartNumberingAfterBreak="0">
    <w:nsid w:val="73240BD9"/>
    <w:multiLevelType w:val="hybridMultilevel"/>
    <w:tmpl w:val="D902A090"/>
    <w:lvl w:ilvl="0" w:tplc="04090019">
      <w:start w:val="4"/>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74C91179"/>
    <w:multiLevelType w:val="hybridMultilevel"/>
    <w:tmpl w:val="BD980FB6"/>
    <w:lvl w:ilvl="0" w:tplc="CDD03EE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9" w15:restartNumberingAfterBreak="0">
    <w:nsid w:val="77264FF9"/>
    <w:multiLevelType w:val="hybridMultilevel"/>
    <w:tmpl w:val="EC8A1A8C"/>
    <w:lvl w:ilvl="0" w:tplc="4CF83DF6">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0" w15:restartNumberingAfterBreak="0">
    <w:nsid w:val="7B622677"/>
    <w:multiLevelType w:val="hybridMultilevel"/>
    <w:tmpl w:val="81C01D26"/>
    <w:lvl w:ilvl="0" w:tplc="6C08E1A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E6E0338"/>
    <w:multiLevelType w:val="hybridMultilevel"/>
    <w:tmpl w:val="1CCAC656"/>
    <w:lvl w:ilvl="0" w:tplc="5C0A81C8">
      <w:start w:val="1"/>
      <w:numFmt w:val="bullet"/>
      <w:lvlText w:val=""/>
      <w:lvlJc w:val="left"/>
      <w:pPr>
        <w:ind w:left="360" w:hanging="360"/>
      </w:pPr>
      <w:rPr>
        <w:rFonts w:ascii="Symbol" w:hAnsi="Symbol" w:hint="default"/>
        <w:color w:val="auto"/>
        <w:sz w:val="12"/>
      </w:rPr>
    </w:lvl>
    <w:lvl w:ilvl="1" w:tplc="04090003" w:tentative="1">
      <w:start w:val="1"/>
      <w:numFmt w:val="bullet"/>
      <w:lvlText w:val="o"/>
      <w:lvlJc w:val="left"/>
      <w:pPr>
        <w:ind w:left="1139" w:hanging="360"/>
      </w:pPr>
      <w:rPr>
        <w:rFonts w:ascii="Courier New" w:hAnsi="Courier New" w:hint="default"/>
      </w:rPr>
    </w:lvl>
    <w:lvl w:ilvl="2" w:tplc="04090005" w:tentative="1">
      <w:start w:val="1"/>
      <w:numFmt w:val="bullet"/>
      <w:lvlText w:val=""/>
      <w:lvlJc w:val="left"/>
      <w:pPr>
        <w:ind w:left="1859" w:hanging="360"/>
      </w:pPr>
      <w:rPr>
        <w:rFonts w:ascii="Wingdings" w:hAnsi="Wingdings" w:hint="default"/>
      </w:rPr>
    </w:lvl>
    <w:lvl w:ilvl="3" w:tplc="04090001" w:tentative="1">
      <w:start w:val="1"/>
      <w:numFmt w:val="bullet"/>
      <w:lvlText w:val=""/>
      <w:lvlJc w:val="left"/>
      <w:pPr>
        <w:ind w:left="2579" w:hanging="360"/>
      </w:pPr>
      <w:rPr>
        <w:rFonts w:ascii="Symbol" w:hAnsi="Symbol" w:hint="default"/>
      </w:rPr>
    </w:lvl>
    <w:lvl w:ilvl="4" w:tplc="04090003" w:tentative="1">
      <w:start w:val="1"/>
      <w:numFmt w:val="bullet"/>
      <w:lvlText w:val="o"/>
      <w:lvlJc w:val="left"/>
      <w:pPr>
        <w:ind w:left="3299" w:hanging="360"/>
      </w:pPr>
      <w:rPr>
        <w:rFonts w:ascii="Courier New" w:hAnsi="Courier New" w:hint="default"/>
      </w:rPr>
    </w:lvl>
    <w:lvl w:ilvl="5" w:tplc="04090005" w:tentative="1">
      <w:start w:val="1"/>
      <w:numFmt w:val="bullet"/>
      <w:lvlText w:val=""/>
      <w:lvlJc w:val="left"/>
      <w:pPr>
        <w:ind w:left="4019" w:hanging="360"/>
      </w:pPr>
      <w:rPr>
        <w:rFonts w:ascii="Wingdings" w:hAnsi="Wingdings" w:hint="default"/>
      </w:rPr>
    </w:lvl>
    <w:lvl w:ilvl="6" w:tplc="04090001" w:tentative="1">
      <w:start w:val="1"/>
      <w:numFmt w:val="bullet"/>
      <w:lvlText w:val=""/>
      <w:lvlJc w:val="left"/>
      <w:pPr>
        <w:ind w:left="4739" w:hanging="360"/>
      </w:pPr>
      <w:rPr>
        <w:rFonts w:ascii="Symbol" w:hAnsi="Symbol" w:hint="default"/>
      </w:rPr>
    </w:lvl>
    <w:lvl w:ilvl="7" w:tplc="04090003" w:tentative="1">
      <w:start w:val="1"/>
      <w:numFmt w:val="bullet"/>
      <w:lvlText w:val="o"/>
      <w:lvlJc w:val="left"/>
      <w:pPr>
        <w:ind w:left="5459" w:hanging="360"/>
      </w:pPr>
      <w:rPr>
        <w:rFonts w:ascii="Courier New" w:hAnsi="Courier New" w:hint="default"/>
      </w:rPr>
    </w:lvl>
    <w:lvl w:ilvl="8" w:tplc="04090005" w:tentative="1">
      <w:start w:val="1"/>
      <w:numFmt w:val="bullet"/>
      <w:lvlText w:val=""/>
      <w:lvlJc w:val="left"/>
      <w:pPr>
        <w:ind w:left="6179" w:hanging="360"/>
      </w:pPr>
      <w:rPr>
        <w:rFonts w:ascii="Wingdings" w:hAnsi="Wingdings" w:hint="default"/>
      </w:rPr>
    </w:lvl>
  </w:abstractNum>
  <w:num w:numId="1" w16cid:durableId="159640438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04315604">
    <w:abstractNumId w:val="17"/>
  </w:num>
  <w:num w:numId="3" w16cid:durableId="905456394">
    <w:abstractNumId w:val="5"/>
  </w:num>
  <w:num w:numId="4" w16cid:durableId="749929562">
    <w:abstractNumId w:val="31"/>
  </w:num>
  <w:num w:numId="5" w16cid:durableId="1453935874">
    <w:abstractNumId w:val="1"/>
  </w:num>
  <w:num w:numId="6" w16cid:durableId="1859273594">
    <w:abstractNumId w:val="24"/>
  </w:num>
  <w:num w:numId="7" w16cid:durableId="1771585807">
    <w:abstractNumId w:val="26"/>
  </w:num>
  <w:num w:numId="8" w16cid:durableId="1218013429">
    <w:abstractNumId w:val="14"/>
  </w:num>
  <w:num w:numId="9" w16cid:durableId="235168248">
    <w:abstractNumId w:val="28"/>
  </w:num>
  <w:num w:numId="10" w16cid:durableId="697505177">
    <w:abstractNumId w:val="6"/>
  </w:num>
  <w:num w:numId="11" w16cid:durableId="1866164722">
    <w:abstractNumId w:val="25"/>
  </w:num>
  <w:num w:numId="12" w16cid:durableId="29111286">
    <w:abstractNumId w:val="11"/>
  </w:num>
  <w:num w:numId="13" w16cid:durableId="916744859">
    <w:abstractNumId w:val="13"/>
  </w:num>
  <w:num w:numId="14" w16cid:durableId="656149453">
    <w:abstractNumId w:val="22"/>
  </w:num>
  <w:num w:numId="15" w16cid:durableId="237322962">
    <w:abstractNumId w:val="19"/>
  </w:num>
  <w:num w:numId="16" w16cid:durableId="810563084">
    <w:abstractNumId w:val="9"/>
  </w:num>
  <w:num w:numId="17" w16cid:durableId="804926861">
    <w:abstractNumId w:val="4"/>
  </w:num>
  <w:num w:numId="18" w16cid:durableId="183255889">
    <w:abstractNumId w:val="23"/>
  </w:num>
  <w:num w:numId="19" w16cid:durableId="1033070115">
    <w:abstractNumId w:val="29"/>
  </w:num>
  <w:num w:numId="20" w16cid:durableId="2020427911">
    <w:abstractNumId w:val="20"/>
  </w:num>
  <w:num w:numId="21" w16cid:durableId="1884437663">
    <w:abstractNumId w:val="30"/>
  </w:num>
  <w:num w:numId="22" w16cid:durableId="1335644573">
    <w:abstractNumId w:val="21"/>
  </w:num>
  <w:num w:numId="23" w16cid:durableId="194588785">
    <w:abstractNumId w:val="10"/>
  </w:num>
  <w:num w:numId="24" w16cid:durableId="1800031763">
    <w:abstractNumId w:val="2"/>
  </w:num>
  <w:num w:numId="25" w16cid:durableId="1468477414">
    <w:abstractNumId w:val="18"/>
  </w:num>
  <w:num w:numId="26" w16cid:durableId="1856771330">
    <w:abstractNumId w:val="3"/>
  </w:num>
  <w:num w:numId="27" w16cid:durableId="442190880">
    <w:abstractNumId w:val="0"/>
  </w:num>
  <w:num w:numId="28" w16cid:durableId="123543544">
    <w:abstractNumId w:val="16"/>
  </w:num>
  <w:num w:numId="29" w16cid:durableId="1860577905">
    <w:abstractNumId w:val="7"/>
  </w:num>
  <w:num w:numId="30" w16cid:durableId="1483809331">
    <w:abstractNumId w:val="27"/>
  </w:num>
  <w:num w:numId="31" w16cid:durableId="1254896224">
    <w:abstractNumId w:val="12"/>
  </w:num>
  <w:num w:numId="32" w16cid:durableId="37736200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defaultTabStop w:val="720"/>
  <w:evenAndOddHeaders/>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42DB"/>
    <w:rsid w:val="00001752"/>
    <w:rsid w:val="00004A35"/>
    <w:rsid w:val="000077A7"/>
    <w:rsid w:val="000103CF"/>
    <w:rsid w:val="000112F5"/>
    <w:rsid w:val="000127EB"/>
    <w:rsid w:val="00012F9A"/>
    <w:rsid w:val="000207BF"/>
    <w:rsid w:val="0002301A"/>
    <w:rsid w:val="000304FF"/>
    <w:rsid w:val="00032126"/>
    <w:rsid w:val="0003451D"/>
    <w:rsid w:val="00036BF0"/>
    <w:rsid w:val="000416AE"/>
    <w:rsid w:val="00041CB2"/>
    <w:rsid w:val="00053067"/>
    <w:rsid w:val="00056E76"/>
    <w:rsid w:val="00061E6F"/>
    <w:rsid w:val="00063C6A"/>
    <w:rsid w:val="00065DDA"/>
    <w:rsid w:val="00065E70"/>
    <w:rsid w:val="00066019"/>
    <w:rsid w:val="000661C2"/>
    <w:rsid w:val="00070784"/>
    <w:rsid w:val="00080EF2"/>
    <w:rsid w:val="000815EF"/>
    <w:rsid w:val="00081725"/>
    <w:rsid w:val="00081B42"/>
    <w:rsid w:val="00083121"/>
    <w:rsid w:val="0009036F"/>
    <w:rsid w:val="00090668"/>
    <w:rsid w:val="00090C5C"/>
    <w:rsid w:val="00091632"/>
    <w:rsid w:val="00091E71"/>
    <w:rsid w:val="00091ECB"/>
    <w:rsid w:val="00092E1E"/>
    <w:rsid w:val="00095BFE"/>
    <w:rsid w:val="000A0489"/>
    <w:rsid w:val="000A18BE"/>
    <w:rsid w:val="000A2A0F"/>
    <w:rsid w:val="000A354F"/>
    <w:rsid w:val="000A45A7"/>
    <w:rsid w:val="000A627E"/>
    <w:rsid w:val="000B14AA"/>
    <w:rsid w:val="000B266C"/>
    <w:rsid w:val="000B3BE9"/>
    <w:rsid w:val="000B474F"/>
    <w:rsid w:val="000B6507"/>
    <w:rsid w:val="000B7D3D"/>
    <w:rsid w:val="000C121F"/>
    <w:rsid w:val="000C50AB"/>
    <w:rsid w:val="000D3928"/>
    <w:rsid w:val="000D40D2"/>
    <w:rsid w:val="000D42D7"/>
    <w:rsid w:val="000D490E"/>
    <w:rsid w:val="000D68C6"/>
    <w:rsid w:val="000D7269"/>
    <w:rsid w:val="000E0F02"/>
    <w:rsid w:val="000E13E7"/>
    <w:rsid w:val="000E2A3C"/>
    <w:rsid w:val="000E636B"/>
    <w:rsid w:val="000E6841"/>
    <w:rsid w:val="000F6461"/>
    <w:rsid w:val="000F66EC"/>
    <w:rsid w:val="00101E8C"/>
    <w:rsid w:val="0010390C"/>
    <w:rsid w:val="00107F4B"/>
    <w:rsid w:val="00113E3B"/>
    <w:rsid w:val="00114BDA"/>
    <w:rsid w:val="00124AA2"/>
    <w:rsid w:val="00127A13"/>
    <w:rsid w:val="00131030"/>
    <w:rsid w:val="001320CE"/>
    <w:rsid w:val="00132F08"/>
    <w:rsid w:val="001343E4"/>
    <w:rsid w:val="00135DF8"/>
    <w:rsid w:val="0013697C"/>
    <w:rsid w:val="00137852"/>
    <w:rsid w:val="0014022D"/>
    <w:rsid w:val="0014054B"/>
    <w:rsid w:val="001414DF"/>
    <w:rsid w:val="00144A4D"/>
    <w:rsid w:val="00145057"/>
    <w:rsid w:val="00150B23"/>
    <w:rsid w:val="00154150"/>
    <w:rsid w:val="00155FD8"/>
    <w:rsid w:val="00160124"/>
    <w:rsid w:val="00161888"/>
    <w:rsid w:val="00163723"/>
    <w:rsid w:val="0016488B"/>
    <w:rsid w:val="001678B9"/>
    <w:rsid w:val="00167AA4"/>
    <w:rsid w:val="00173BC4"/>
    <w:rsid w:val="001758E3"/>
    <w:rsid w:val="00186703"/>
    <w:rsid w:val="00194E4C"/>
    <w:rsid w:val="00197D97"/>
    <w:rsid w:val="001A1534"/>
    <w:rsid w:val="001A1898"/>
    <w:rsid w:val="001A33BE"/>
    <w:rsid w:val="001A36DC"/>
    <w:rsid w:val="001A374D"/>
    <w:rsid w:val="001A3A05"/>
    <w:rsid w:val="001A50FB"/>
    <w:rsid w:val="001B0E34"/>
    <w:rsid w:val="001B1B8D"/>
    <w:rsid w:val="001B33FC"/>
    <w:rsid w:val="001B34F2"/>
    <w:rsid w:val="001B6ADC"/>
    <w:rsid w:val="001C2EE5"/>
    <w:rsid w:val="001C5F2E"/>
    <w:rsid w:val="001C7530"/>
    <w:rsid w:val="001C7711"/>
    <w:rsid w:val="001C7C4B"/>
    <w:rsid w:val="001D0A15"/>
    <w:rsid w:val="001D3BC7"/>
    <w:rsid w:val="001D6BF8"/>
    <w:rsid w:val="001D6DF3"/>
    <w:rsid w:val="001E2530"/>
    <w:rsid w:val="001E42B4"/>
    <w:rsid w:val="001F2074"/>
    <w:rsid w:val="001F2603"/>
    <w:rsid w:val="001F4AD1"/>
    <w:rsid w:val="001F6D38"/>
    <w:rsid w:val="0020197E"/>
    <w:rsid w:val="00205725"/>
    <w:rsid w:val="0021000D"/>
    <w:rsid w:val="00214AA0"/>
    <w:rsid w:val="00217C42"/>
    <w:rsid w:val="00223F99"/>
    <w:rsid w:val="0022517F"/>
    <w:rsid w:val="0022533A"/>
    <w:rsid w:val="00226B14"/>
    <w:rsid w:val="00226B36"/>
    <w:rsid w:val="00230F50"/>
    <w:rsid w:val="0024003A"/>
    <w:rsid w:val="00240D19"/>
    <w:rsid w:val="00240DDD"/>
    <w:rsid w:val="00240E76"/>
    <w:rsid w:val="0024187E"/>
    <w:rsid w:val="0024572B"/>
    <w:rsid w:val="00247AE4"/>
    <w:rsid w:val="00260030"/>
    <w:rsid w:val="00260F46"/>
    <w:rsid w:val="00264B7B"/>
    <w:rsid w:val="002665F6"/>
    <w:rsid w:val="00270380"/>
    <w:rsid w:val="00273B32"/>
    <w:rsid w:val="002755A2"/>
    <w:rsid w:val="002762F1"/>
    <w:rsid w:val="00276313"/>
    <w:rsid w:val="002808C8"/>
    <w:rsid w:val="00281892"/>
    <w:rsid w:val="00283625"/>
    <w:rsid w:val="00291D28"/>
    <w:rsid w:val="0029498E"/>
    <w:rsid w:val="002A2787"/>
    <w:rsid w:val="002A46A6"/>
    <w:rsid w:val="002A5044"/>
    <w:rsid w:val="002A6326"/>
    <w:rsid w:val="002B0D14"/>
    <w:rsid w:val="002B504B"/>
    <w:rsid w:val="002C375A"/>
    <w:rsid w:val="002C3956"/>
    <w:rsid w:val="002C474A"/>
    <w:rsid w:val="002C532D"/>
    <w:rsid w:val="002C6C74"/>
    <w:rsid w:val="002E1D1B"/>
    <w:rsid w:val="002E236D"/>
    <w:rsid w:val="002F062C"/>
    <w:rsid w:val="002F5204"/>
    <w:rsid w:val="002F72F6"/>
    <w:rsid w:val="00302666"/>
    <w:rsid w:val="00305B3E"/>
    <w:rsid w:val="0030609B"/>
    <w:rsid w:val="003106A2"/>
    <w:rsid w:val="00310E73"/>
    <w:rsid w:val="003110CC"/>
    <w:rsid w:val="00313EE1"/>
    <w:rsid w:val="00314D7B"/>
    <w:rsid w:val="00315762"/>
    <w:rsid w:val="0032413E"/>
    <w:rsid w:val="003277E4"/>
    <w:rsid w:val="003300E3"/>
    <w:rsid w:val="00330AA3"/>
    <w:rsid w:val="00331BC1"/>
    <w:rsid w:val="003346BD"/>
    <w:rsid w:val="003351D4"/>
    <w:rsid w:val="00343AD4"/>
    <w:rsid w:val="0035458A"/>
    <w:rsid w:val="0035561F"/>
    <w:rsid w:val="00356906"/>
    <w:rsid w:val="0036267D"/>
    <w:rsid w:val="003650B4"/>
    <w:rsid w:val="003650DF"/>
    <w:rsid w:val="00365D04"/>
    <w:rsid w:val="00366388"/>
    <w:rsid w:val="00366B4E"/>
    <w:rsid w:val="00371BFA"/>
    <w:rsid w:val="00373D4A"/>
    <w:rsid w:val="00374952"/>
    <w:rsid w:val="00377AF1"/>
    <w:rsid w:val="00381FFD"/>
    <w:rsid w:val="00383A68"/>
    <w:rsid w:val="003852AC"/>
    <w:rsid w:val="00390472"/>
    <w:rsid w:val="00393C07"/>
    <w:rsid w:val="00393D8A"/>
    <w:rsid w:val="00395541"/>
    <w:rsid w:val="003956F6"/>
    <w:rsid w:val="003A1206"/>
    <w:rsid w:val="003A178F"/>
    <w:rsid w:val="003A33B7"/>
    <w:rsid w:val="003A7830"/>
    <w:rsid w:val="003B4B30"/>
    <w:rsid w:val="003B6CB9"/>
    <w:rsid w:val="003C363A"/>
    <w:rsid w:val="003C4452"/>
    <w:rsid w:val="003C4758"/>
    <w:rsid w:val="003C56D8"/>
    <w:rsid w:val="003C65B5"/>
    <w:rsid w:val="003D3544"/>
    <w:rsid w:val="003D44E1"/>
    <w:rsid w:val="003D6F6B"/>
    <w:rsid w:val="003E5DE0"/>
    <w:rsid w:val="003E6B1E"/>
    <w:rsid w:val="003F06C4"/>
    <w:rsid w:val="003F2FFC"/>
    <w:rsid w:val="003F6138"/>
    <w:rsid w:val="004010BA"/>
    <w:rsid w:val="00402332"/>
    <w:rsid w:val="00405912"/>
    <w:rsid w:val="004059A1"/>
    <w:rsid w:val="00406446"/>
    <w:rsid w:val="004067A5"/>
    <w:rsid w:val="00407B9B"/>
    <w:rsid w:val="004102F5"/>
    <w:rsid w:val="00411528"/>
    <w:rsid w:val="00411AB7"/>
    <w:rsid w:val="0041735E"/>
    <w:rsid w:val="004260CA"/>
    <w:rsid w:val="00427EFD"/>
    <w:rsid w:val="00430C1B"/>
    <w:rsid w:val="0043101B"/>
    <w:rsid w:val="0043241A"/>
    <w:rsid w:val="004338F7"/>
    <w:rsid w:val="00437131"/>
    <w:rsid w:val="004379BC"/>
    <w:rsid w:val="00443A17"/>
    <w:rsid w:val="00444E03"/>
    <w:rsid w:val="004450E6"/>
    <w:rsid w:val="004465E8"/>
    <w:rsid w:val="0044724D"/>
    <w:rsid w:val="0044733D"/>
    <w:rsid w:val="0045260C"/>
    <w:rsid w:val="004663B3"/>
    <w:rsid w:val="0047333B"/>
    <w:rsid w:val="00473A33"/>
    <w:rsid w:val="004748C6"/>
    <w:rsid w:val="00475C1B"/>
    <w:rsid w:val="0047677D"/>
    <w:rsid w:val="00477666"/>
    <w:rsid w:val="00477C90"/>
    <w:rsid w:val="00480D39"/>
    <w:rsid w:val="00483F29"/>
    <w:rsid w:val="00485A41"/>
    <w:rsid w:val="00487461"/>
    <w:rsid w:val="00490716"/>
    <w:rsid w:val="004923A8"/>
    <w:rsid w:val="004953A8"/>
    <w:rsid w:val="00496225"/>
    <w:rsid w:val="004965D7"/>
    <w:rsid w:val="004977A2"/>
    <w:rsid w:val="004A41F6"/>
    <w:rsid w:val="004A6A66"/>
    <w:rsid w:val="004A77E7"/>
    <w:rsid w:val="004B6276"/>
    <w:rsid w:val="004B703C"/>
    <w:rsid w:val="004B7CA6"/>
    <w:rsid w:val="004C1FC8"/>
    <w:rsid w:val="004C6D11"/>
    <w:rsid w:val="004D2D59"/>
    <w:rsid w:val="004D5EB6"/>
    <w:rsid w:val="004D62C3"/>
    <w:rsid w:val="004E6FAB"/>
    <w:rsid w:val="004F1FFF"/>
    <w:rsid w:val="004F6008"/>
    <w:rsid w:val="004F6732"/>
    <w:rsid w:val="005006A8"/>
    <w:rsid w:val="00504F2C"/>
    <w:rsid w:val="0051031E"/>
    <w:rsid w:val="00511E8C"/>
    <w:rsid w:val="00511F8B"/>
    <w:rsid w:val="00512086"/>
    <w:rsid w:val="0051339D"/>
    <w:rsid w:val="00515B0F"/>
    <w:rsid w:val="00534E22"/>
    <w:rsid w:val="0054079D"/>
    <w:rsid w:val="00541150"/>
    <w:rsid w:val="00542AEE"/>
    <w:rsid w:val="00542B74"/>
    <w:rsid w:val="005476B9"/>
    <w:rsid w:val="005503B6"/>
    <w:rsid w:val="0055489B"/>
    <w:rsid w:val="005552F6"/>
    <w:rsid w:val="005558A7"/>
    <w:rsid w:val="00555C7D"/>
    <w:rsid w:val="00560079"/>
    <w:rsid w:val="00560E66"/>
    <w:rsid w:val="00567FB2"/>
    <w:rsid w:val="00571D64"/>
    <w:rsid w:val="00573353"/>
    <w:rsid w:val="0057609C"/>
    <w:rsid w:val="00580E61"/>
    <w:rsid w:val="00585A55"/>
    <w:rsid w:val="00586E23"/>
    <w:rsid w:val="00586FEE"/>
    <w:rsid w:val="0059183F"/>
    <w:rsid w:val="005A2267"/>
    <w:rsid w:val="005A3585"/>
    <w:rsid w:val="005A5E03"/>
    <w:rsid w:val="005B0E0C"/>
    <w:rsid w:val="005B2A6D"/>
    <w:rsid w:val="005B3BD3"/>
    <w:rsid w:val="005B5C11"/>
    <w:rsid w:val="005B698A"/>
    <w:rsid w:val="005B7D43"/>
    <w:rsid w:val="005C5CEC"/>
    <w:rsid w:val="005D339F"/>
    <w:rsid w:val="005D5196"/>
    <w:rsid w:val="005D6571"/>
    <w:rsid w:val="005D6BAD"/>
    <w:rsid w:val="005E1EBC"/>
    <w:rsid w:val="005E2E17"/>
    <w:rsid w:val="005E3EF9"/>
    <w:rsid w:val="005E652E"/>
    <w:rsid w:val="005E7F2B"/>
    <w:rsid w:val="005F152F"/>
    <w:rsid w:val="00602C4E"/>
    <w:rsid w:val="006047BF"/>
    <w:rsid w:val="006065D8"/>
    <w:rsid w:val="00607AD7"/>
    <w:rsid w:val="0061001A"/>
    <w:rsid w:val="00610847"/>
    <w:rsid w:val="006109B7"/>
    <w:rsid w:val="00612AF7"/>
    <w:rsid w:val="00613B2D"/>
    <w:rsid w:val="00613D53"/>
    <w:rsid w:val="00615B5F"/>
    <w:rsid w:val="006237EF"/>
    <w:rsid w:val="00627586"/>
    <w:rsid w:val="00627D5B"/>
    <w:rsid w:val="006313C3"/>
    <w:rsid w:val="006363EC"/>
    <w:rsid w:val="0064153E"/>
    <w:rsid w:val="006421B6"/>
    <w:rsid w:val="0065517A"/>
    <w:rsid w:val="006569BF"/>
    <w:rsid w:val="006611AC"/>
    <w:rsid w:val="00661F7D"/>
    <w:rsid w:val="00662FD2"/>
    <w:rsid w:val="00665F91"/>
    <w:rsid w:val="00666986"/>
    <w:rsid w:val="00666B45"/>
    <w:rsid w:val="00672EE5"/>
    <w:rsid w:val="00673395"/>
    <w:rsid w:val="006761F2"/>
    <w:rsid w:val="00677B83"/>
    <w:rsid w:val="006832F7"/>
    <w:rsid w:val="0068346A"/>
    <w:rsid w:val="00683CAC"/>
    <w:rsid w:val="00685DB2"/>
    <w:rsid w:val="00685FE5"/>
    <w:rsid w:val="006860DD"/>
    <w:rsid w:val="00686DD7"/>
    <w:rsid w:val="00687E58"/>
    <w:rsid w:val="006905EB"/>
    <w:rsid w:val="00690C4D"/>
    <w:rsid w:val="006927BF"/>
    <w:rsid w:val="006A28C9"/>
    <w:rsid w:val="006A6264"/>
    <w:rsid w:val="006B33BC"/>
    <w:rsid w:val="006B4A71"/>
    <w:rsid w:val="006B6533"/>
    <w:rsid w:val="006C0DE5"/>
    <w:rsid w:val="006C1B5B"/>
    <w:rsid w:val="006C4DC2"/>
    <w:rsid w:val="006C7A90"/>
    <w:rsid w:val="006D1968"/>
    <w:rsid w:val="006D4C90"/>
    <w:rsid w:val="006D5083"/>
    <w:rsid w:val="006E1CD2"/>
    <w:rsid w:val="006E36DB"/>
    <w:rsid w:val="006E43E9"/>
    <w:rsid w:val="006F083C"/>
    <w:rsid w:val="006F29A9"/>
    <w:rsid w:val="006F6D1E"/>
    <w:rsid w:val="00703C90"/>
    <w:rsid w:val="00710EA5"/>
    <w:rsid w:val="007110EB"/>
    <w:rsid w:val="0071116A"/>
    <w:rsid w:val="00712AAF"/>
    <w:rsid w:val="00714914"/>
    <w:rsid w:val="007202BD"/>
    <w:rsid w:val="00721A5D"/>
    <w:rsid w:val="0072209F"/>
    <w:rsid w:val="00727A2B"/>
    <w:rsid w:val="00730121"/>
    <w:rsid w:val="00730665"/>
    <w:rsid w:val="007331FF"/>
    <w:rsid w:val="00734AE1"/>
    <w:rsid w:val="00735779"/>
    <w:rsid w:val="007375BD"/>
    <w:rsid w:val="007417D6"/>
    <w:rsid w:val="00742930"/>
    <w:rsid w:val="00744C55"/>
    <w:rsid w:val="007536D6"/>
    <w:rsid w:val="0075512E"/>
    <w:rsid w:val="00757205"/>
    <w:rsid w:val="00757A90"/>
    <w:rsid w:val="00757E9C"/>
    <w:rsid w:val="0076061C"/>
    <w:rsid w:val="007657D4"/>
    <w:rsid w:val="007658B7"/>
    <w:rsid w:val="00770447"/>
    <w:rsid w:val="00770FC7"/>
    <w:rsid w:val="0077399A"/>
    <w:rsid w:val="00775C8B"/>
    <w:rsid w:val="00775EAF"/>
    <w:rsid w:val="00776736"/>
    <w:rsid w:val="007812F9"/>
    <w:rsid w:val="00783527"/>
    <w:rsid w:val="00783EBC"/>
    <w:rsid w:val="0078429B"/>
    <w:rsid w:val="007865AD"/>
    <w:rsid w:val="0078798E"/>
    <w:rsid w:val="00795804"/>
    <w:rsid w:val="007970D5"/>
    <w:rsid w:val="007A3498"/>
    <w:rsid w:val="007A37FE"/>
    <w:rsid w:val="007A4E3C"/>
    <w:rsid w:val="007B02D8"/>
    <w:rsid w:val="007B1DE7"/>
    <w:rsid w:val="007B2992"/>
    <w:rsid w:val="007B2DBC"/>
    <w:rsid w:val="007B4A59"/>
    <w:rsid w:val="007B76F8"/>
    <w:rsid w:val="007C3FD2"/>
    <w:rsid w:val="007C5BA0"/>
    <w:rsid w:val="007C60C9"/>
    <w:rsid w:val="007D0435"/>
    <w:rsid w:val="007D22CD"/>
    <w:rsid w:val="007D2B67"/>
    <w:rsid w:val="007D2DB7"/>
    <w:rsid w:val="007D4022"/>
    <w:rsid w:val="007D5DD8"/>
    <w:rsid w:val="007E088E"/>
    <w:rsid w:val="007E1D35"/>
    <w:rsid w:val="007E56C3"/>
    <w:rsid w:val="007E59B8"/>
    <w:rsid w:val="007E65BA"/>
    <w:rsid w:val="007E7A77"/>
    <w:rsid w:val="007F27E9"/>
    <w:rsid w:val="007F58D7"/>
    <w:rsid w:val="00804204"/>
    <w:rsid w:val="00806B14"/>
    <w:rsid w:val="00815AB5"/>
    <w:rsid w:val="00817542"/>
    <w:rsid w:val="008177CD"/>
    <w:rsid w:val="008217E1"/>
    <w:rsid w:val="00822911"/>
    <w:rsid w:val="0082471A"/>
    <w:rsid w:val="0083249C"/>
    <w:rsid w:val="0083570A"/>
    <w:rsid w:val="00835ADA"/>
    <w:rsid w:val="00836682"/>
    <w:rsid w:val="00840B11"/>
    <w:rsid w:val="00845818"/>
    <w:rsid w:val="00851CEA"/>
    <w:rsid w:val="0085369F"/>
    <w:rsid w:val="008602EB"/>
    <w:rsid w:val="00864E1D"/>
    <w:rsid w:val="00866A0D"/>
    <w:rsid w:val="00870FE0"/>
    <w:rsid w:val="00875F26"/>
    <w:rsid w:val="008773DB"/>
    <w:rsid w:val="00877F95"/>
    <w:rsid w:val="00880720"/>
    <w:rsid w:val="008812E8"/>
    <w:rsid w:val="0088160D"/>
    <w:rsid w:val="00881B9B"/>
    <w:rsid w:val="008832D6"/>
    <w:rsid w:val="00891746"/>
    <w:rsid w:val="00891B45"/>
    <w:rsid w:val="00892740"/>
    <w:rsid w:val="00895D06"/>
    <w:rsid w:val="00897753"/>
    <w:rsid w:val="00897796"/>
    <w:rsid w:val="008A0BBD"/>
    <w:rsid w:val="008A18DB"/>
    <w:rsid w:val="008A5416"/>
    <w:rsid w:val="008A7D66"/>
    <w:rsid w:val="008B1BA2"/>
    <w:rsid w:val="008B1D5A"/>
    <w:rsid w:val="008B3601"/>
    <w:rsid w:val="008B3C8C"/>
    <w:rsid w:val="008B4E42"/>
    <w:rsid w:val="008B7753"/>
    <w:rsid w:val="008C1444"/>
    <w:rsid w:val="008C17EB"/>
    <w:rsid w:val="008D06A8"/>
    <w:rsid w:val="008D125D"/>
    <w:rsid w:val="008D1DE1"/>
    <w:rsid w:val="008D42D9"/>
    <w:rsid w:val="008E0D73"/>
    <w:rsid w:val="008E3AB7"/>
    <w:rsid w:val="008E3BDB"/>
    <w:rsid w:val="008F13B6"/>
    <w:rsid w:val="008F1F6E"/>
    <w:rsid w:val="008F5E0C"/>
    <w:rsid w:val="009012F2"/>
    <w:rsid w:val="009058ED"/>
    <w:rsid w:val="00906842"/>
    <w:rsid w:val="0091791A"/>
    <w:rsid w:val="00921DAE"/>
    <w:rsid w:val="00923402"/>
    <w:rsid w:val="009272FF"/>
    <w:rsid w:val="00933B0C"/>
    <w:rsid w:val="00935A77"/>
    <w:rsid w:val="00936F02"/>
    <w:rsid w:val="00942456"/>
    <w:rsid w:val="0094254A"/>
    <w:rsid w:val="00944F9E"/>
    <w:rsid w:val="00950628"/>
    <w:rsid w:val="00950724"/>
    <w:rsid w:val="00954328"/>
    <w:rsid w:val="00955EF9"/>
    <w:rsid w:val="0096210B"/>
    <w:rsid w:val="00964D4A"/>
    <w:rsid w:val="00964E5F"/>
    <w:rsid w:val="00965257"/>
    <w:rsid w:val="0096542E"/>
    <w:rsid w:val="009717C9"/>
    <w:rsid w:val="009732F5"/>
    <w:rsid w:val="0097345B"/>
    <w:rsid w:val="00973786"/>
    <w:rsid w:val="00976B74"/>
    <w:rsid w:val="009837D5"/>
    <w:rsid w:val="0098452E"/>
    <w:rsid w:val="00984741"/>
    <w:rsid w:val="00990C0C"/>
    <w:rsid w:val="00994686"/>
    <w:rsid w:val="0099668D"/>
    <w:rsid w:val="009A2A01"/>
    <w:rsid w:val="009A2AB0"/>
    <w:rsid w:val="009A5FBB"/>
    <w:rsid w:val="009B5FFF"/>
    <w:rsid w:val="009C0B15"/>
    <w:rsid w:val="009C0DF1"/>
    <w:rsid w:val="009C380A"/>
    <w:rsid w:val="009C73F6"/>
    <w:rsid w:val="009D1F65"/>
    <w:rsid w:val="009D2A38"/>
    <w:rsid w:val="009D4A28"/>
    <w:rsid w:val="009D5EFD"/>
    <w:rsid w:val="009E02A8"/>
    <w:rsid w:val="009E2252"/>
    <w:rsid w:val="009E259D"/>
    <w:rsid w:val="009E34CB"/>
    <w:rsid w:val="009E39B3"/>
    <w:rsid w:val="009E67C4"/>
    <w:rsid w:val="00A021E2"/>
    <w:rsid w:val="00A03FFD"/>
    <w:rsid w:val="00A100ED"/>
    <w:rsid w:val="00A139F8"/>
    <w:rsid w:val="00A16578"/>
    <w:rsid w:val="00A20E35"/>
    <w:rsid w:val="00A22818"/>
    <w:rsid w:val="00A27160"/>
    <w:rsid w:val="00A27764"/>
    <w:rsid w:val="00A311FC"/>
    <w:rsid w:val="00A345F0"/>
    <w:rsid w:val="00A351FF"/>
    <w:rsid w:val="00A363B2"/>
    <w:rsid w:val="00A366C9"/>
    <w:rsid w:val="00A37F8D"/>
    <w:rsid w:val="00A40D12"/>
    <w:rsid w:val="00A42B47"/>
    <w:rsid w:val="00A46AF5"/>
    <w:rsid w:val="00A5137B"/>
    <w:rsid w:val="00A573D7"/>
    <w:rsid w:val="00A60102"/>
    <w:rsid w:val="00A72914"/>
    <w:rsid w:val="00A72B2F"/>
    <w:rsid w:val="00A73BCD"/>
    <w:rsid w:val="00A74E55"/>
    <w:rsid w:val="00A75595"/>
    <w:rsid w:val="00A758CE"/>
    <w:rsid w:val="00A80AA7"/>
    <w:rsid w:val="00A81EB6"/>
    <w:rsid w:val="00A86011"/>
    <w:rsid w:val="00A87C1E"/>
    <w:rsid w:val="00A901A7"/>
    <w:rsid w:val="00A91EAE"/>
    <w:rsid w:val="00A93BA0"/>
    <w:rsid w:val="00A9462A"/>
    <w:rsid w:val="00AB675B"/>
    <w:rsid w:val="00AB690F"/>
    <w:rsid w:val="00AC27A7"/>
    <w:rsid w:val="00AC7CB5"/>
    <w:rsid w:val="00AD4E66"/>
    <w:rsid w:val="00AD568B"/>
    <w:rsid w:val="00AD768F"/>
    <w:rsid w:val="00AE0364"/>
    <w:rsid w:val="00AE1493"/>
    <w:rsid w:val="00AE5E66"/>
    <w:rsid w:val="00AF43F2"/>
    <w:rsid w:val="00AF726A"/>
    <w:rsid w:val="00B0455A"/>
    <w:rsid w:val="00B067DA"/>
    <w:rsid w:val="00B12C80"/>
    <w:rsid w:val="00B214B4"/>
    <w:rsid w:val="00B2173A"/>
    <w:rsid w:val="00B242D9"/>
    <w:rsid w:val="00B3192E"/>
    <w:rsid w:val="00B32213"/>
    <w:rsid w:val="00B35A1E"/>
    <w:rsid w:val="00B42023"/>
    <w:rsid w:val="00B42C2E"/>
    <w:rsid w:val="00B42ECA"/>
    <w:rsid w:val="00B44EB1"/>
    <w:rsid w:val="00B47655"/>
    <w:rsid w:val="00B50DA7"/>
    <w:rsid w:val="00B50F33"/>
    <w:rsid w:val="00B52FC0"/>
    <w:rsid w:val="00B54907"/>
    <w:rsid w:val="00B6108F"/>
    <w:rsid w:val="00B676ED"/>
    <w:rsid w:val="00B717A8"/>
    <w:rsid w:val="00B72A70"/>
    <w:rsid w:val="00B7510D"/>
    <w:rsid w:val="00B75651"/>
    <w:rsid w:val="00B817A3"/>
    <w:rsid w:val="00B82D04"/>
    <w:rsid w:val="00B900E7"/>
    <w:rsid w:val="00B93F1E"/>
    <w:rsid w:val="00B940CE"/>
    <w:rsid w:val="00B952BB"/>
    <w:rsid w:val="00B96179"/>
    <w:rsid w:val="00B96456"/>
    <w:rsid w:val="00B9650A"/>
    <w:rsid w:val="00B9656C"/>
    <w:rsid w:val="00BA1247"/>
    <w:rsid w:val="00BB09FC"/>
    <w:rsid w:val="00BB11E6"/>
    <w:rsid w:val="00BB2962"/>
    <w:rsid w:val="00BC42DB"/>
    <w:rsid w:val="00BC552E"/>
    <w:rsid w:val="00BC62DD"/>
    <w:rsid w:val="00BC65C2"/>
    <w:rsid w:val="00BC67CA"/>
    <w:rsid w:val="00BD5969"/>
    <w:rsid w:val="00BE1A53"/>
    <w:rsid w:val="00BE2683"/>
    <w:rsid w:val="00BE6B0A"/>
    <w:rsid w:val="00BF0D9A"/>
    <w:rsid w:val="00BF40BA"/>
    <w:rsid w:val="00BF72D0"/>
    <w:rsid w:val="00C04D9A"/>
    <w:rsid w:val="00C11C89"/>
    <w:rsid w:val="00C14BAB"/>
    <w:rsid w:val="00C17877"/>
    <w:rsid w:val="00C24A20"/>
    <w:rsid w:val="00C25916"/>
    <w:rsid w:val="00C26556"/>
    <w:rsid w:val="00C271E4"/>
    <w:rsid w:val="00C272FE"/>
    <w:rsid w:val="00C27D0F"/>
    <w:rsid w:val="00C312E8"/>
    <w:rsid w:val="00C3398F"/>
    <w:rsid w:val="00C34172"/>
    <w:rsid w:val="00C36AD3"/>
    <w:rsid w:val="00C36AE8"/>
    <w:rsid w:val="00C4141B"/>
    <w:rsid w:val="00C43169"/>
    <w:rsid w:val="00C45D81"/>
    <w:rsid w:val="00C53A53"/>
    <w:rsid w:val="00C53EA8"/>
    <w:rsid w:val="00C61F17"/>
    <w:rsid w:val="00C627A7"/>
    <w:rsid w:val="00C7580D"/>
    <w:rsid w:val="00C81696"/>
    <w:rsid w:val="00C8391F"/>
    <w:rsid w:val="00C83E82"/>
    <w:rsid w:val="00C865EF"/>
    <w:rsid w:val="00C92C71"/>
    <w:rsid w:val="00C943F6"/>
    <w:rsid w:val="00C95C35"/>
    <w:rsid w:val="00C97DA5"/>
    <w:rsid w:val="00CA0202"/>
    <w:rsid w:val="00CA0AC7"/>
    <w:rsid w:val="00CA2831"/>
    <w:rsid w:val="00CA2C3D"/>
    <w:rsid w:val="00CB10D1"/>
    <w:rsid w:val="00CB586F"/>
    <w:rsid w:val="00CB6161"/>
    <w:rsid w:val="00CC0E63"/>
    <w:rsid w:val="00CC15B0"/>
    <w:rsid w:val="00CC2B1A"/>
    <w:rsid w:val="00CC524B"/>
    <w:rsid w:val="00CC5BE3"/>
    <w:rsid w:val="00CC6534"/>
    <w:rsid w:val="00CC6863"/>
    <w:rsid w:val="00CC76A0"/>
    <w:rsid w:val="00CC7D5B"/>
    <w:rsid w:val="00CD1235"/>
    <w:rsid w:val="00CD602E"/>
    <w:rsid w:val="00CE0221"/>
    <w:rsid w:val="00CE0783"/>
    <w:rsid w:val="00CE0B2B"/>
    <w:rsid w:val="00CE0CF3"/>
    <w:rsid w:val="00CE4779"/>
    <w:rsid w:val="00CE4DFE"/>
    <w:rsid w:val="00CE61A4"/>
    <w:rsid w:val="00CE79F6"/>
    <w:rsid w:val="00CE7B9C"/>
    <w:rsid w:val="00CF4C74"/>
    <w:rsid w:val="00D00F0D"/>
    <w:rsid w:val="00D04F74"/>
    <w:rsid w:val="00D0632F"/>
    <w:rsid w:val="00D118B7"/>
    <w:rsid w:val="00D13A2E"/>
    <w:rsid w:val="00D21F7D"/>
    <w:rsid w:val="00D234DE"/>
    <w:rsid w:val="00D249D9"/>
    <w:rsid w:val="00D27D43"/>
    <w:rsid w:val="00D30096"/>
    <w:rsid w:val="00D303F4"/>
    <w:rsid w:val="00D33D71"/>
    <w:rsid w:val="00D34E46"/>
    <w:rsid w:val="00D3560A"/>
    <w:rsid w:val="00D45B49"/>
    <w:rsid w:val="00D514FB"/>
    <w:rsid w:val="00D5162D"/>
    <w:rsid w:val="00D60E72"/>
    <w:rsid w:val="00D62C1B"/>
    <w:rsid w:val="00D647DD"/>
    <w:rsid w:val="00D669D3"/>
    <w:rsid w:val="00D672DC"/>
    <w:rsid w:val="00D67A38"/>
    <w:rsid w:val="00D7193B"/>
    <w:rsid w:val="00D73465"/>
    <w:rsid w:val="00D759BD"/>
    <w:rsid w:val="00D75A88"/>
    <w:rsid w:val="00D775AE"/>
    <w:rsid w:val="00D83027"/>
    <w:rsid w:val="00D835B4"/>
    <w:rsid w:val="00D84962"/>
    <w:rsid w:val="00D85916"/>
    <w:rsid w:val="00D93C26"/>
    <w:rsid w:val="00D94DE2"/>
    <w:rsid w:val="00DA0D72"/>
    <w:rsid w:val="00DA33C0"/>
    <w:rsid w:val="00DA3C51"/>
    <w:rsid w:val="00DA5389"/>
    <w:rsid w:val="00DA5429"/>
    <w:rsid w:val="00DA64F5"/>
    <w:rsid w:val="00DC08EB"/>
    <w:rsid w:val="00DC13B0"/>
    <w:rsid w:val="00DC3E82"/>
    <w:rsid w:val="00DC5CAD"/>
    <w:rsid w:val="00DC5FCE"/>
    <w:rsid w:val="00DE6A6B"/>
    <w:rsid w:val="00DF1059"/>
    <w:rsid w:val="00DF2173"/>
    <w:rsid w:val="00E03CC0"/>
    <w:rsid w:val="00E04BC3"/>
    <w:rsid w:val="00E07663"/>
    <w:rsid w:val="00E14224"/>
    <w:rsid w:val="00E16105"/>
    <w:rsid w:val="00E1705E"/>
    <w:rsid w:val="00E23125"/>
    <w:rsid w:val="00E24128"/>
    <w:rsid w:val="00E33E28"/>
    <w:rsid w:val="00E3563B"/>
    <w:rsid w:val="00E36F06"/>
    <w:rsid w:val="00E41921"/>
    <w:rsid w:val="00E44269"/>
    <w:rsid w:val="00E44ED6"/>
    <w:rsid w:val="00E44FDC"/>
    <w:rsid w:val="00E46568"/>
    <w:rsid w:val="00E479AC"/>
    <w:rsid w:val="00E47F0C"/>
    <w:rsid w:val="00E54185"/>
    <w:rsid w:val="00E60A37"/>
    <w:rsid w:val="00E64771"/>
    <w:rsid w:val="00E64D68"/>
    <w:rsid w:val="00E7196B"/>
    <w:rsid w:val="00E72A10"/>
    <w:rsid w:val="00E7317D"/>
    <w:rsid w:val="00E74AAA"/>
    <w:rsid w:val="00E75F8C"/>
    <w:rsid w:val="00E76591"/>
    <w:rsid w:val="00E810F3"/>
    <w:rsid w:val="00E82F27"/>
    <w:rsid w:val="00E84902"/>
    <w:rsid w:val="00E85B8C"/>
    <w:rsid w:val="00E87510"/>
    <w:rsid w:val="00E922D3"/>
    <w:rsid w:val="00E96834"/>
    <w:rsid w:val="00EA03BF"/>
    <w:rsid w:val="00EA3844"/>
    <w:rsid w:val="00EB246A"/>
    <w:rsid w:val="00EB32F0"/>
    <w:rsid w:val="00EB5D4D"/>
    <w:rsid w:val="00EC2EAA"/>
    <w:rsid w:val="00EC4A1F"/>
    <w:rsid w:val="00ED19B0"/>
    <w:rsid w:val="00ED39DC"/>
    <w:rsid w:val="00ED4AA3"/>
    <w:rsid w:val="00ED6116"/>
    <w:rsid w:val="00EE2A6B"/>
    <w:rsid w:val="00EE3F2C"/>
    <w:rsid w:val="00EE4084"/>
    <w:rsid w:val="00EF1F06"/>
    <w:rsid w:val="00EF79E6"/>
    <w:rsid w:val="00F01273"/>
    <w:rsid w:val="00F012A4"/>
    <w:rsid w:val="00F12EFA"/>
    <w:rsid w:val="00F14AC1"/>
    <w:rsid w:val="00F1709E"/>
    <w:rsid w:val="00F23521"/>
    <w:rsid w:val="00F258F0"/>
    <w:rsid w:val="00F27D4F"/>
    <w:rsid w:val="00F3105D"/>
    <w:rsid w:val="00F32572"/>
    <w:rsid w:val="00F37F6C"/>
    <w:rsid w:val="00F41121"/>
    <w:rsid w:val="00F42583"/>
    <w:rsid w:val="00F44A82"/>
    <w:rsid w:val="00F46024"/>
    <w:rsid w:val="00F47036"/>
    <w:rsid w:val="00F536E3"/>
    <w:rsid w:val="00F54D22"/>
    <w:rsid w:val="00F564DB"/>
    <w:rsid w:val="00F56942"/>
    <w:rsid w:val="00F56D4B"/>
    <w:rsid w:val="00F62699"/>
    <w:rsid w:val="00F62EAD"/>
    <w:rsid w:val="00F66E65"/>
    <w:rsid w:val="00F6701C"/>
    <w:rsid w:val="00F701CC"/>
    <w:rsid w:val="00F71BDA"/>
    <w:rsid w:val="00F72578"/>
    <w:rsid w:val="00F74663"/>
    <w:rsid w:val="00F755B6"/>
    <w:rsid w:val="00F75F64"/>
    <w:rsid w:val="00F76A43"/>
    <w:rsid w:val="00F80B63"/>
    <w:rsid w:val="00F824E9"/>
    <w:rsid w:val="00F852EC"/>
    <w:rsid w:val="00F929F2"/>
    <w:rsid w:val="00F94287"/>
    <w:rsid w:val="00F942F2"/>
    <w:rsid w:val="00F94D20"/>
    <w:rsid w:val="00FA03F5"/>
    <w:rsid w:val="00FA09B2"/>
    <w:rsid w:val="00FA471C"/>
    <w:rsid w:val="00FA5109"/>
    <w:rsid w:val="00FA6474"/>
    <w:rsid w:val="00FB019A"/>
    <w:rsid w:val="00FB1957"/>
    <w:rsid w:val="00FB797B"/>
    <w:rsid w:val="00FC687D"/>
    <w:rsid w:val="00FD04CE"/>
    <w:rsid w:val="00FD0E28"/>
    <w:rsid w:val="00FD19C0"/>
    <w:rsid w:val="00FD4356"/>
    <w:rsid w:val="00FD4A8F"/>
    <w:rsid w:val="00FD58F9"/>
    <w:rsid w:val="00FD5B5B"/>
    <w:rsid w:val="00FE12A4"/>
    <w:rsid w:val="00FE2A67"/>
    <w:rsid w:val="00FE2FBB"/>
    <w:rsid w:val="00FE3051"/>
    <w:rsid w:val="00FE5F0F"/>
    <w:rsid w:val="00FE6995"/>
    <w:rsid w:val="00FE7413"/>
    <w:rsid w:val="00FE78A6"/>
    <w:rsid w:val="00FF1AF4"/>
    <w:rsid w:val="00FF3076"/>
    <w:rsid w:val="00FF518D"/>
    <w:rsid w:val="00FF5589"/>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97F495C"/>
  <w15:docId w15:val="{935CBD0A-75F7-49D6-90FE-2569FC394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HAns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42DB"/>
    <w:pPr>
      <w:spacing w:after="200" w:line="276" w:lineRule="auto"/>
    </w:pPr>
    <w:rPr>
      <w:rFonts w:cs="Arial"/>
    </w:rPr>
  </w:style>
  <w:style w:type="paragraph" w:styleId="Heading1">
    <w:name w:val="heading 1"/>
    <w:basedOn w:val="Normal"/>
    <w:link w:val="Heading1Char"/>
    <w:uiPriority w:val="9"/>
    <w:qFormat/>
    <w:rsid w:val="000304FF"/>
    <w:pPr>
      <w:spacing w:before="100" w:beforeAutospacing="1" w:after="100" w:afterAutospacing="1" w:line="240" w:lineRule="auto"/>
      <w:outlineLvl w:val="0"/>
    </w:pPr>
    <w:rPr>
      <w:rFonts w:ascii="Times New Roman" w:hAnsi="Times New Roman" w:cs="Times New Roman"/>
      <w:b/>
      <w:bCs/>
      <w:kern w:val="36"/>
      <w:sz w:val="48"/>
      <w:szCs w:val="48"/>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C42DB"/>
    <w:pPr>
      <w:spacing w:after="0" w:line="240" w:lineRule="auto"/>
    </w:pPr>
    <w:rPr>
      <w:rFonts w:cs="Arial"/>
    </w:rPr>
  </w:style>
  <w:style w:type="paragraph" w:styleId="FootnoteText">
    <w:name w:val="footnote text"/>
    <w:basedOn w:val="Normal"/>
    <w:link w:val="FootnoteTextChar"/>
    <w:uiPriority w:val="99"/>
    <w:unhideWhenUsed/>
    <w:rsid w:val="00BC42DB"/>
    <w:pPr>
      <w:spacing w:after="0" w:line="240" w:lineRule="auto"/>
    </w:pPr>
    <w:rPr>
      <w:rFonts w:cs="Times New Roman"/>
      <w:sz w:val="20"/>
      <w:szCs w:val="20"/>
    </w:rPr>
  </w:style>
  <w:style w:type="character" w:customStyle="1" w:styleId="FootnoteTextChar">
    <w:name w:val="Footnote Text Char"/>
    <w:basedOn w:val="DefaultParagraphFont"/>
    <w:link w:val="FootnoteText"/>
    <w:uiPriority w:val="99"/>
    <w:locked/>
    <w:rsid w:val="00BC42DB"/>
    <w:rPr>
      <w:rFonts w:eastAsia="Times New Roman" w:cs="Times New Roman"/>
      <w:sz w:val="20"/>
      <w:szCs w:val="20"/>
    </w:rPr>
  </w:style>
  <w:style w:type="paragraph" w:styleId="BalloonText">
    <w:name w:val="Balloon Text"/>
    <w:basedOn w:val="Normal"/>
    <w:link w:val="BalloonTextChar"/>
    <w:uiPriority w:val="99"/>
    <w:semiHidden/>
    <w:unhideWhenUsed/>
    <w:rsid w:val="001405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4054B"/>
    <w:rPr>
      <w:rFonts w:ascii="Tahoma" w:hAnsi="Tahoma" w:cs="Tahoma"/>
      <w:sz w:val="16"/>
      <w:szCs w:val="16"/>
    </w:rPr>
  </w:style>
  <w:style w:type="paragraph" w:styleId="ListParagraph">
    <w:name w:val="List Paragraph"/>
    <w:basedOn w:val="Normal"/>
    <w:link w:val="ListParagraphChar"/>
    <w:uiPriority w:val="34"/>
    <w:qFormat/>
    <w:rsid w:val="00BE2683"/>
    <w:pPr>
      <w:ind w:left="720"/>
      <w:contextualSpacing/>
    </w:pPr>
  </w:style>
  <w:style w:type="table" w:styleId="TableGrid">
    <w:name w:val="Table Grid"/>
    <w:basedOn w:val="TableNormal"/>
    <w:uiPriority w:val="59"/>
    <w:qFormat/>
    <w:rsid w:val="00BE2683"/>
    <w:pPr>
      <w:spacing w:after="0" w:line="240" w:lineRule="auto"/>
    </w:pPr>
    <w:rPr>
      <w:rFont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BE2683"/>
    <w:rPr>
      <w:rFonts w:eastAsia="Times New Roman"/>
    </w:rPr>
  </w:style>
  <w:style w:type="paragraph" w:customStyle="1" w:styleId="ListParagraph1">
    <w:name w:val="List Paragraph1"/>
    <w:basedOn w:val="Normal"/>
    <w:uiPriority w:val="34"/>
    <w:qFormat/>
    <w:rsid w:val="00BE2683"/>
    <w:pPr>
      <w:ind w:left="720"/>
      <w:contextualSpacing/>
    </w:pPr>
    <w:rPr>
      <w:rFonts w:ascii="Times New Roman" w:hAnsi="Times New Roman" w:cs="Times New Roman"/>
      <w:sz w:val="24"/>
      <w:szCs w:val="24"/>
    </w:rPr>
  </w:style>
  <w:style w:type="character" w:styleId="FootnoteReference">
    <w:name w:val="footnote reference"/>
    <w:basedOn w:val="DefaultParagraphFont"/>
    <w:uiPriority w:val="99"/>
    <w:semiHidden/>
    <w:unhideWhenUsed/>
    <w:rsid w:val="00B7510D"/>
    <w:rPr>
      <w:rFonts w:cs="Times New Roman"/>
      <w:vertAlign w:val="superscript"/>
    </w:rPr>
  </w:style>
  <w:style w:type="paragraph" w:styleId="Header">
    <w:name w:val="header"/>
    <w:basedOn w:val="Normal"/>
    <w:link w:val="HeaderChar"/>
    <w:uiPriority w:val="99"/>
    <w:unhideWhenUsed/>
    <w:rsid w:val="00AC27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27A7"/>
    <w:rPr>
      <w:rFonts w:cs="Arial"/>
    </w:rPr>
  </w:style>
  <w:style w:type="paragraph" w:styleId="Footer">
    <w:name w:val="footer"/>
    <w:basedOn w:val="Normal"/>
    <w:link w:val="FooterChar"/>
    <w:uiPriority w:val="99"/>
    <w:unhideWhenUsed/>
    <w:rsid w:val="00AC27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27A7"/>
    <w:rPr>
      <w:rFonts w:cs="Arial"/>
    </w:rPr>
  </w:style>
  <w:style w:type="character" w:customStyle="1" w:styleId="Heading1Char">
    <w:name w:val="Heading 1 Char"/>
    <w:basedOn w:val="DefaultParagraphFont"/>
    <w:link w:val="Heading1"/>
    <w:uiPriority w:val="9"/>
    <w:rsid w:val="000304FF"/>
    <w:rPr>
      <w:rFonts w:ascii="Times New Roman" w:hAnsi="Times New Roman" w:cs="Times New Roman"/>
      <w:b/>
      <w:bCs/>
      <w:kern w:val="36"/>
      <w:sz w:val="48"/>
      <w:szCs w:val="48"/>
      <w:lang w:val="id-ID" w:eastAsia="id-ID"/>
    </w:rPr>
  </w:style>
  <w:style w:type="character" w:styleId="Hyperlink">
    <w:name w:val="Hyperlink"/>
    <w:basedOn w:val="DefaultParagraphFont"/>
    <w:uiPriority w:val="99"/>
    <w:unhideWhenUsed/>
    <w:rsid w:val="000304FF"/>
    <w:rPr>
      <w:color w:val="0000FF"/>
      <w:u w:val="single"/>
    </w:rPr>
  </w:style>
  <w:style w:type="paragraph" w:styleId="HTMLPreformatted">
    <w:name w:val="HTML Preformatted"/>
    <w:basedOn w:val="Normal"/>
    <w:link w:val="HTMLPreformattedChar"/>
    <w:uiPriority w:val="99"/>
    <w:semiHidden/>
    <w:unhideWhenUsed/>
    <w:rsid w:val="00E64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E64D68"/>
    <w:rPr>
      <w:rFonts w:ascii="Courier New" w:hAnsi="Courier New" w:cs="Courier New"/>
      <w:sz w:val="20"/>
      <w:szCs w:val="20"/>
    </w:rPr>
  </w:style>
  <w:style w:type="paragraph" w:styleId="NormalWeb">
    <w:name w:val="Normal (Web)"/>
    <w:basedOn w:val="Normal"/>
    <w:uiPriority w:val="99"/>
    <w:unhideWhenUsed/>
    <w:rsid w:val="007B4A59"/>
    <w:pPr>
      <w:spacing w:before="100" w:beforeAutospacing="1" w:after="100" w:afterAutospacing="1" w:line="240" w:lineRule="auto"/>
    </w:pPr>
    <w:rPr>
      <w:rFonts w:ascii="Times New Roman" w:hAnsi="Times New Roman" w:cs="Times New Roman"/>
      <w:sz w:val="24"/>
      <w:szCs w:val="24"/>
      <w:lang w:val="id-ID" w:eastAsia="id-ID"/>
    </w:rPr>
  </w:style>
  <w:style w:type="character" w:customStyle="1" w:styleId="a">
    <w:name w:val="a"/>
    <w:basedOn w:val="DefaultParagraphFont"/>
    <w:rsid w:val="0010390C"/>
  </w:style>
  <w:style w:type="character" w:styleId="Emphasis">
    <w:name w:val="Emphasis"/>
    <w:basedOn w:val="DefaultParagraphFont"/>
    <w:uiPriority w:val="20"/>
    <w:qFormat/>
    <w:rsid w:val="0010390C"/>
    <w:rPr>
      <w:i/>
      <w:iCs/>
    </w:rPr>
  </w:style>
  <w:style w:type="paragraph" w:styleId="BodyText">
    <w:name w:val="Body Text"/>
    <w:basedOn w:val="Normal"/>
    <w:link w:val="BodyTextChar"/>
    <w:uiPriority w:val="1"/>
    <w:qFormat/>
    <w:rsid w:val="00944F9E"/>
    <w:pPr>
      <w:widowControl w:val="0"/>
      <w:autoSpaceDE w:val="0"/>
      <w:autoSpaceDN w:val="0"/>
      <w:spacing w:after="0" w:line="240" w:lineRule="auto"/>
      <w:jc w:val="both"/>
    </w:pPr>
    <w:rPr>
      <w:rFonts w:ascii="Times New Roman" w:hAnsi="Times New Roman" w:cs="Times New Roman"/>
      <w:sz w:val="24"/>
      <w:szCs w:val="24"/>
    </w:rPr>
  </w:style>
  <w:style w:type="character" w:customStyle="1" w:styleId="BodyTextChar">
    <w:name w:val="Body Text Char"/>
    <w:basedOn w:val="DefaultParagraphFont"/>
    <w:link w:val="BodyText"/>
    <w:uiPriority w:val="1"/>
    <w:rsid w:val="00944F9E"/>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7306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42256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07/s10899-023-10269-0" TargetMode="External"/><Relationship Id="rId18" Type="http://schemas.openxmlformats.org/officeDocument/2006/relationships/hyperlink" Target="https://doi.org/10.24090/maghza.v6i1.4507" TargetMode="External"/><Relationship Id="rId26" Type="http://schemas.openxmlformats.org/officeDocument/2006/relationships/hyperlink" Target="https://doi.org/10.47709/educendikia.v5i02.6923" TargetMode="External"/><Relationship Id="rId39" Type="http://schemas.openxmlformats.org/officeDocument/2006/relationships/fontTable" Target="fontTable.xml"/><Relationship Id="rId21" Type="http://schemas.openxmlformats.org/officeDocument/2006/relationships/hyperlink" Target="https://doi.org/10.28918/jhi.v15i1.801" TargetMode="External"/><Relationship Id="rId34" Type="http://schemas.openxmlformats.org/officeDocument/2006/relationships/hyperlink" Target="https://doi.org/10.56128/jkih.v5i3.834" TargetMode="External"/><Relationship Id="rId7" Type="http://schemas.openxmlformats.org/officeDocument/2006/relationships/endnotes" Target="endnotes.xml"/><Relationship Id="rId12" Type="http://schemas.openxmlformats.org/officeDocument/2006/relationships/hyperlink" Target="https://doi.org/10.31004/innovative.v4i3.10547" TargetMode="External"/><Relationship Id="rId17" Type="http://schemas.openxmlformats.org/officeDocument/2006/relationships/hyperlink" Target="https://doi.org/10.5281/zenodo.13897768" TargetMode="External"/><Relationship Id="rId25" Type="http://schemas.openxmlformats.org/officeDocument/2006/relationships/hyperlink" Target="https://doi.org/10.61104/ihsan.v3i4.2545" TargetMode="External"/><Relationship Id="rId33" Type="http://schemas.openxmlformats.org/officeDocument/2006/relationships/hyperlink" Target="https://doi.org/10.31605/mssj.v3i1.3969" TargetMode="External"/><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journal.staittd.ac.id/index.php/at/article/view/192" TargetMode="External"/><Relationship Id="rId20" Type="http://schemas.openxmlformats.org/officeDocument/2006/relationships/hyperlink" Target="https://doi.org/10.55606/concept.v3i2.1304" TargetMode="External"/><Relationship Id="rId29" Type="http://schemas.openxmlformats.org/officeDocument/2006/relationships/hyperlink" Target="https://doi.org/10.24090/jimrf.v14i1.1364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70742/ahlika.v1i1.13" TargetMode="External"/><Relationship Id="rId24" Type="http://schemas.openxmlformats.org/officeDocument/2006/relationships/hyperlink" Target="https://doi.org/10.55102/alyasini.v8i1.5271" TargetMode="External"/><Relationship Id="rId32" Type="http://schemas.openxmlformats.org/officeDocument/2006/relationships/hyperlink" Target="https://doi.org/10.51577/ijipublication.v5i1.623" TargetMode="Externa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1080/14459795.2017.1331252" TargetMode="External"/><Relationship Id="rId23" Type="http://schemas.openxmlformats.org/officeDocument/2006/relationships/hyperlink" Target="https://doi.org/10.63822/m6g6dw28" TargetMode="External"/><Relationship Id="rId28" Type="http://schemas.openxmlformats.org/officeDocument/2006/relationships/hyperlink" Target="https://doi.org/10.32678/geneologipai.v10i1.8418" TargetMode="External"/><Relationship Id="rId36" Type="http://schemas.openxmlformats.org/officeDocument/2006/relationships/header" Target="header2.xml"/><Relationship Id="rId10" Type="http://schemas.openxmlformats.org/officeDocument/2006/relationships/hyperlink" Target="https://doi.org/10.62359/dirayah.v5i1.440" TargetMode="External"/><Relationship Id="rId19" Type="http://schemas.openxmlformats.org/officeDocument/2006/relationships/hyperlink" Target="https://doi.org/10.53947/perspektif.v2i2.391" TargetMode="External"/><Relationship Id="rId31" Type="http://schemas.openxmlformats.org/officeDocument/2006/relationships/hyperlink" Target="https://doi.org/10.18196/ijclc.v3i3.17674" TargetMode="External"/><Relationship Id="rId4" Type="http://schemas.openxmlformats.org/officeDocument/2006/relationships/settings" Target="settings.xml"/><Relationship Id="rId9" Type="http://schemas.openxmlformats.org/officeDocument/2006/relationships/hyperlink" Target="mailto:94@gmail.com" TargetMode="External"/><Relationship Id="rId14" Type="http://schemas.openxmlformats.org/officeDocument/2006/relationships/hyperlink" Target="https://doi.org/10.1007/s10899-023-10258-3" TargetMode="External"/><Relationship Id="rId22" Type="http://schemas.openxmlformats.org/officeDocument/2006/relationships/hyperlink" Target="https://doi.org/10.52266/tadjid.v8i2.3444" TargetMode="External"/><Relationship Id="rId27" Type="http://schemas.openxmlformats.org/officeDocument/2006/relationships/hyperlink" Target="https://doi.org/10.1556/2006.7.2018.139" TargetMode="External"/><Relationship Id="rId30" Type="http://schemas.openxmlformats.org/officeDocument/2006/relationships/hyperlink" Target="https://ejournal.stainupa.ac.id/index.php/aliqtishady/article/view/256" TargetMode="External"/><Relationship Id="rId35" Type="http://schemas.openxmlformats.org/officeDocument/2006/relationships/header" Target="header1.xml"/><Relationship Id="rId8" Type="http://schemas.openxmlformats.org/officeDocument/2006/relationships/hyperlink" Target="mailto:Wardilute94@gmail.com"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00977E-4FA8-4195-859A-27E9FBF11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32</Pages>
  <Words>6972</Words>
  <Characters>39746</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Vostro</dc:creator>
  <cp:lastModifiedBy>Reviewer</cp:lastModifiedBy>
  <cp:revision>10</cp:revision>
  <cp:lastPrinted>2026-07-26T14:10:00Z</cp:lastPrinted>
  <dcterms:created xsi:type="dcterms:W3CDTF">2026-06-10T15:49:00Z</dcterms:created>
  <dcterms:modified xsi:type="dcterms:W3CDTF">2026-07-26T14:10:00Z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59cc6580-bd24-3f2e-92dc-583347d653d3</vt:lpwstr>
  </property>
  <property fmtid="{D5CDD505-2E9C-101B-9397-08002B2CF9AE}" pid="4" name="GrammarlyDocumentId">
    <vt:lpwstr>1f78b123-6942-41e6-a694-b822b9aa7227</vt:lpwstr>
  </property>
</Properties>
</file>